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NAGE</w:t>
      </w:r>
      <w:r>
        <w:rPr>
          <w:rFonts w:ascii="Calibri" w:hAnsi="Calibri"/>
          <w:b/>
          <w:color w:val="1A2010"/>
          <w:sz w:val="40"/>
        </w:rPr>
        <w:t xml:space="preserve">  Niagen Bioscience, Inc.</w:t>
      </w:r>
    </w:p>
    <w:p>
      <w:pPr>
        <w:spacing w:after="120"/>
      </w:pPr>
      <w:r>
        <w:rPr>
          <w:rFonts w:ascii="Calibri" w:hAnsi="Calibri"/>
          <w:b/>
          <w:color w:val="6E8450"/>
          <w:sz w:val="18"/>
        </w:rPr>
        <w:t>GROWTH SLEEVE · 2026-09-26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Niagen Bioscience, Inc. (formerly ChromaDex Corporation) is the global leader in NAD+ (nicotinamide adenine dinucleotide) science and healthy-aging research with over 25 years of innovation. The company operates through Consumer Products (TRU NIAGEN dietary supplements sold via e-commerce, Amazon, and specialty retailers), Ingredients, and Pharmaceuticals (clinical development of NAD+-based therapeutics), led by CEO Rob Fried and Executive Chairman/Cofounder Frank Jaksch. Following the March 2025 divestiture of its Analytical Reference Standards segment, the company guided full-year 2026 net sales to 10-15% growth (implying ~$139-145M) on top of $129.4M in 2025 revenue, though Q2 2026 net income of $1.0M (EPS $0.01) decelerated sharply from Q1's divestiture-gain-boosted $6.3M.</w:t>
      </w:r>
    </w:p>
    <w:p>
      <w:r>
        <w:rPr>
          <w:rFonts w:ascii="Calibri" w:hAnsi="Calibri"/>
          <w:b/>
          <w:color w:val="6E8450"/>
          <w:sz w:val="18"/>
        </w:rPr>
        <w:t>117 Employees · https://www.niagenbioscience.com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Niagen Bioscience completed its multi-year repositioning from ChromaDex to a focused NAD+ science company, divesting the Analytical Reference Standards segment for a $4.8M gain and centering the business on Consumer, Ingredients, and Pharmaceutical NAD+ verticals [1]. AI Deployment (0/2): No evidence of AI-powered products or quantified AI-driven efficiency gains; AI use is limited to resume screening in hiring, not customer-facing products [2]. Market Share (2/2): Niagen Bioscience is the definitive category leader in NAD+ science, with the largest body of human clinical research, patented ingredient identity, and the direct-to-consumer TRU NIAGEN brand growing DTC sales 23% YoY in Q2 2026 [3]. Product Pipeline (1/2): The pharmaceutical pipeline in NAD+-based therapeutics and the 2026 guidance of 10-15% organic growth provide visibility, though specific pharma product timelines remain undisclosed. R&amp;D Intensity (1/1): 25+ year R&amp;D investment history in NAD+ science, with scientific leadership including Nobel laureates, remains well above industry average for a company of this size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'There's a Better Way to Age' is a specific, thoughtful purpose statement grounded in 25+ years of NAD+ research that connects the company's science to a genuinely larger cause [3]. Community Impact (0/2): No evidence of distinctive charitable giving or community investment programs with specific dollar amounts was identified. Employee Retention (0/2): With only 117 employees, no turnover, tenure, or satisfaction data is publicly available beyond the company's stated 'C.H.E.' (Character, Horsepower, Experience) culture values [2]. Insider Buying (0/2): No evidence of meaningful net insider buying by CEO Fried or other executives was identified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unavailable Forward PEG. Niagen Bioscience remains essentially debt-free (D/E of 2.8%), and ROE of 21.80% clears the 15% target (2x weight). Organic revenue growth of ~10-15% guided for 2026 (used as YoY growth given the divested-segment distortion in raw comparables) and an estimated 5-year revenue CAGR of ~18% both exceed their 10% targets (Rev 5yr CAGR at 2x weight). The primary drags are Forward P/E of 30.5 — a sharp jump from prior periods reflecting the market pricing in normalization of earnings after the one-time $4.8M divestiture gain inflated Q1 2026 net income — and profit margin of 12.39%, below the 20% target. Liquidity has thinned: average daily dollar volume of ~$1.86M (608,489 shares at $3.05) clears the $1M floor but with a narrower margin than in prior periods as the share price has declined toward its 52-week 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Niagen Bioscience demonstrates meaningful infinite game characteristics — a 25-year commitment to NAD+ science that outlasted multiple market cycles and competitive threats, culminating in the March 2025 rebrand that formally aligned corporate identity with core purpose. The divestiture of the profitable Reference Standards segment showed willingness to sacrifice near-term revenue for strategic focus, though the company's small scale (117 employees) and the sharp Q1-to-Q2 earnings deceleration mean the purpose has not yet been tested through sustained organizational stress.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'There's a Better Way to Age' connects the company's scientific work to a larger human aspiration — extending healthspan through NAD+ biology — and the 25+ year commitment through multiple market cycles demonstrates the purpose is real and partially lived, culminating in the 2025 identity-crystallizing rebrand from ChromaDex to Niagen Bioscience [3]. It remains untested by major crisis as a focused 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117-person team unites Nobel laureates, pioneering researchers, and consumer health innovators around a mission-driven scientific culture, with retention of key scientific leadership through the corporate transformation suggesting organizational stability [3], though no specific turnover or satisfaction data distinguishes the culture from industry average.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Niagen Bioscience competes with numerous NAD+ supplement makers but frames its advantage in terms of superior science, clinical evidence, and IP protection rather than market-share warfare, using competitive presence as motivation to deepen research investment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evolution from ChromaDex (analytical reference standards) to Niagen Bioscience (focused NAD+ science leader) represents significant strategic adaptation over 25 years, formally completed by the 2025 divestiture and rebrand [1][3]. The pivots were incremental over decades rather than a single transformative decision.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the stable, profitable Reference Standards segment to focus exclusively on the higher-risk NAD+ science and pharmaceutical opportunity demonstrates willingness to sacrifice near-term revenue diversification for long-term mission alignment [1], though the decision was made from a position of strength given strong NAD+ revenue growth at the time, making it a lower-risk bet than a true crisis-driven pivot.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Niagen Bioscience's debt-free balance sheet, 21.80% ROE, and category-defining position in NAD+ science support the long-term thesis, with DTC TRU NIAGEN sales growing 23% YoY in Q2 2026 and full-year 2026 guidance of 10-15% organic growth (~$139-145M) building on $129.4M in 2025 revenue [1]. The company's moat rests on patented NAD+ ingredient identity, the largest body of human clinical research supporting NAD+ supplementation, and pharmaceutical pipeline optionality that could open a market far larger than dietary supplements.</w:t>
      </w:r>
    </w:p>
    <w:p>
      <w:pPr>
        <w:spacing w:after="120"/>
      </w:pPr>
      <w:r>
        <w:rPr>
          <w:rFonts w:ascii="Calibri" w:hAnsi="Calibri"/>
          <w:b w:val="0"/>
          <w:color w:val="3A4A28"/>
          <w:sz w:val="20"/>
        </w:rPr>
        <w:t>The bear case has strengthened. Q2 2026 net income fell to just $1.0M (EPS $0.01) from Q1's divestiture-gain-inflated $6.3M, and the resulting Forward P/E of 30.5 — nearly double the prior period's 17.49 — signals the market expects a meaningfully lower earnings run-rate once the one-time gain rolls off [1]. The stock has fallen to $3.05, below its previously cited 52-week low, and average daily dollar volume of ~$1.86M is now uncomfortably close to the $1M IOWN liquidity floor, raising tradability concerns if volume or price erodes further. The company remains concentrated in a single product category (NAD+) exposed to commoditization from unpatented competitors, and the pharmaceutical pipeline remains early-stage with no near-term revenue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organic revenue growth of 10-15% (~$139-145M) validating the post-divestiture growth trajectory and DTC momentum (23% YoY growth in Q2) [1]</w:t>
      </w:r>
    </w:p>
    <w:p>
      <w:pPr>
        <w:spacing w:before="40" w:after="40"/>
        <w:ind w:left="283"/>
      </w:pPr>
      <w:r>
        <w:rPr>
          <w:rFonts w:ascii="Calibri" w:hAnsi="Calibri"/>
          <w:b/>
          <w:color w:val="4A6B25"/>
          <w:sz w:val="20"/>
        </w:rPr>
        <w:t xml:space="preserve">2. </w:t>
      </w:r>
      <w:r>
        <w:rPr>
          <w:rFonts w:ascii="Calibri" w:hAnsi="Calibri"/>
          <w:b w:val="0"/>
          <w:color w:val="3A4A28"/>
          <w:sz w:val="20"/>
        </w:rPr>
        <w:t>Pharmaceutical pipeline advancement in NAD+-based therapeutics could unlock a significantly larger addressable market than the $60B+ dietary supplement category</w:t>
      </w:r>
    </w:p>
    <w:p>
      <w:pPr>
        <w:spacing w:before="40" w:after="40"/>
        <w:ind w:left="283"/>
      </w:pPr>
      <w:r>
        <w:rPr>
          <w:rFonts w:ascii="Calibri" w:hAnsi="Calibri"/>
          <w:b/>
          <w:color w:val="4A6B25"/>
          <w:sz w:val="20"/>
        </w:rPr>
        <w:t xml:space="preserve">3. </w:t>
      </w:r>
      <w:r>
        <w:rPr>
          <w:rFonts w:ascii="Calibri" w:hAnsi="Calibri"/>
          <w:b w:val="0"/>
          <w:color w:val="3A4A28"/>
          <w:sz w:val="20"/>
        </w:rPr>
        <w:t>Stabilization of quarterly earnings post the Q1 divestiture-gain distortion could compress the elevated 30.5x forward P/E back toward historical norms if margins 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net income collapse to $1.0M from Q1's gain-inflated $6.3M, and a forward P/E that nearly doubled to 30.5, suggest the market has priced in a materially lower sustainable earnings run-rate [1]</w:t>
      </w:r>
    </w:p>
    <w:p>
      <w:pPr>
        <w:spacing w:before="40" w:after="40"/>
        <w:ind w:left="283"/>
      </w:pPr>
      <w:r>
        <w:rPr>
          <w:rFonts w:ascii="Calibri" w:hAnsi="Calibri"/>
          <w:b/>
          <w:color w:val="4A6B25"/>
          <w:sz w:val="20"/>
        </w:rPr>
        <w:t xml:space="preserve">2. </w:t>
      </w:r>
      <w:r>
        <w:rPr>
          <w:rFonts w:ascii="Calibri" w:hAnsi="Calibri"/>
          <w:b w:val="0"/>
          <w:color w:val="3A4A28"/>
          <w:sz w:val="20"/>
        </w:rPr>
        <w:t>Average daily dollar volume of ~$1.86M sits close to the $1M IOWN liquidity floor; continued price decline toward the 52-week low would further compress tradability</w:t>
      </w:r>
    </w:p>
    <w:p>
      <w:pPr>
        <w:spacing w:before="40" w:after="40"/>
        <w:ind w:left="283"/>
      </w:pPr>
      <w:r>
        <w:rPr>
          <w:rFonts w:ascii="Calibri" w:hAnsi="Calibri"/>
          <w:b/>
          <w:color w:val="4A6B25"/>
          <w:sz w:val="20"/>
        </w:rPr>
        <w:t xml:space="preserve">3. </w:t>
      </w:r>
      <w:r>
        <w:rPr>
          <w:rFonts w:ascii="Calibri" w:hAnsi="Calibri"/>
          <w:b w:val="0"/>
          <w:color w:val="3A4A28"/>
          <w:sz w:val="20"/>
        </w:rPr>
        <w:t>Heavy concentration in a single product category (NAD+) exposes the company to regulatory risk if FDA tightens supplement health claims or clinical data challenges NAD+ efficacy narratives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Niagen Bioscience's core business — manufacturing and selling proprietary NAD+ supplements and ingredients through physical distribution — faces minimal direct AI substitution risk, since consumers must physically consume the product [3]. The company's moat rests on 25+ years of patented IP, the largest body of human clinical research supporting NAD+ supplementation, and brand trust (TRU NIAGEN), barriers AI cannot easily replicate. AI could accelerate competitors' research into alternative longevity compounds, and AI-personalized nutrition platforms could redirect consumers to alternatives, but no analyst has flagged material AI disruption risk to Niagen specifically. AI Opportunity (0/1): No evidence of AI-related revenue streams; the company's edge is clinical science and IP, not AI technology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Niagen Bioscience Q1/Q2 2026 Earnings Releases and 2026 Financial Guidance — SEC 8-K Filings, Seeking Alpha, 2026</w:t>
      </w:r>
    </w:p>
    <w:p>
      <w:pPr>
        <w:spacing w:before="20" w:after="20"/>
        <w:ind w:left="170"/>
      </w:pPr>
      <w:r>
        <w:rPr>
          <w:rFonts w:ascii="Calibri" w:hAnsi="Calibri"/>
          <w:b/>
          <w:color w:val="4A6B25"/>
          <w:sz w:val="15"/>
        </w:rPr>
        <w:t xml:space="preserve">2. </w:t>
      </w:r>
      <w:r>
        <w:rPr>
          <w:rFonts w:ascii="Calibri" w:hAnsi="Calibri"/>
          <w:b w:val="0"/>
          <w:color w:val="3A4A28"/>
          <w:sz w:val="17"/>
        </w:rPr>
        <w:t>Niagen Bioscience Corporate Website — Leadership Team, Culture Values, and Company Mission,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Niagen Bioscience 10-Q/ARS Filings — ESG and Anti-ESG Regulatory Risk Disclosures, SEC EDGAR,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NAGE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