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NAK</w:t>
      </w:r>
      <w:r>
        <w:rPr>
          <w:rFonts w:ascii="Calibri" w:hAnsi="Calibri"/>
          <w:b/>
          <w:color w:val="1A2010"/>
          <w:sz w:val="40"/>
        </w:rPr>
        <w:t xml:space="preserve">  Northern Dynasty Minerals Ltd.</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NYQ · Canada</w:t>
      </w:r>
    </w:p>
    <w:p>
      <w:pPr>
        <w:spacing w:after="80"/>
      </w:pPr>
      <w:r>
        <w:rPr>
          <w:rFonts w:ascii="Calibri" w:hAnsi="Calibri"/>
          <w:b w:val="0"/>
          <w:color w:val="3A4A28"/>
          <w:sz w:val="20"/>
        </w:rPr>
        <w:t>Northern Dynasty Minerals is a single-asset mineral exploration company holding 100% interest in the Pebble copper-gold-molybdenum-silver-rhenium deposit in southwest Alaska, one of the world's largest undeveloped copper-gold resources (1,840 mineral claims covering ~274 square miles). The EPA veto under Section 404(c) of the Clean Water Act is being challenged in Alaska Federal District Court, with oral arguments held June 25, 2026 and a judicial decision pending. The company generates zero revenue, reported a 2025 net loss of C$104M, and survives on royalty agreements and periodic financing. Market cap approximately $630M at $1.12 per share.</w:t>
      </w:r>
    </w:p>
    <w:p>
      <w:r>
        <w:rPr>
          <w:rFonts w:ascii="Calibri" w:hAnsi="Calibri"/>
          <w:b/>
          <w:color w:val="6E8450"/>
          <w:sz w:val="18"/>
        </w:rPr>
        <w:t>https://www.northerndynastyminerals.com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Northern Dynasty has failed to advance the Pebble project through a single regulatory milestone in over 20 years of corporate existence [1]. No mine plan has been approved, no production technology deployed, and the 2023 EPA veto effectively nullified years of permitting work. The DOJ backed the EPA veto in a February 2026 court brief, further undermining development prospects [2]. AI Deployment (0/2): No AI deployment of any kind — the company is a pre-revenue exploration entity with no operational activities beyond litigation and investor relations. Market Share (0/2): Northern Dynasty holds no market share in any operating market, having never produced a single ounce of copper, gold, or molybdenum in its history. Product Pipeline (1/2): The Pebble deposit contains an estimated 57B lbs copper, 71M oz gold, and significant molybdenum, silver, and rhenium in one of the world's largest undeveloped resources [1]. The resource represents enormous latent value, but with no approved development timeline and a pending judicial decision, the pipeline is entirely theoretical. R&amp;D Intensity (1/1): Continued legal investment and the $48M royalty agreement represent spending directed at advancing the project, though aimed at litigation rather than technical R&amp;D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Northern Dynasty's purpose centers on developing the Pebble copper-gold deposit, framed as providing critical minerals for the energy transition. This is a generic resource extraction purpose that lacks any broader societal vision beyond commodity production [1]. Community Impact (0/2): Over 80% of Bristol Bay residents oppose the project, every major mining partner (Mitsubishi, Anglo American, Rio Tinto, First Quantum) has abandoned it, and over 60 jewelry companies endorsed the 'No Pebble Pledge' [3]. The project threatens the world's largest sockeye salmon fishery, a $1B+ industry supporting 10,000+ jobs. The Bristol Bay Native Corporation remains actively opposed. Community impact is deeply negative. Employee Retention (0/2): No disclosed employee count, suggesting a skeleton corporate structure focused on litigation. CEO Ron Thiessen has served since November 2001 (25 years), providing personal continuity but no organizational culture data exists [2]. Insider Buying (1/2): The $48M royalty agreement received in tranches demonstrates some external investor conviction in the underlying resource, but no specific open-market insider purchasing by named executives was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extremely limited available metrics. D/E of 30.2% scores 1.0 (below 70% target, though low debt reflects inability to access capital markets rather than financial strength) [4]. ROE of -261.3% scores 0.0 at 2x weight (catastrophically negative, accelerating capital destruction on a shrinking equity base from C$104M net loss in 2025) [4]. Revenue Growth YoY excluded (no revenue — the company has never generated a dollar of operating revenue) [1]. Revenue Growth 5yr CAGR excluded (no revenue). Forward P/E excluded (negative, -39.9). Profit Margin of 0% scores 0.0 (no revenue to margin against) [4]. PEG excluded (null). Weighted sum: (1x1.0)+(2x0.0)+(1x0.0) = 1.0. Max: 1+2+1 = 4. Score: 1.0/4 x 10 = 2.5, rounds to 2. Cash of $54.7M at year-end 2025 and C$52.6M at Q1 2026, with additional financing required to advance the project [1]. Daily dollar volume of ~$4.4M passes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Northern Dynasty exhibits overwhelmingly finite game characteristics — the entire corporate strategy is a binary bet on overturning a regulatory veto through litigation, with no Plan B, no diversification, and no meaningful consideration of stakeholder interests beyond shareholders. Oral arguments were held on June 25, 2026, and a judicial decision is pending [2]. The company's 20+ year pursuit of a single project without production defines finite, zero-sum thinking. Four global mining partners walked away after concluding the environmental and reputational risk was not worth the resource value.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company's sole cause is permitting and building the Pebble Mine, which lacks a transcendent purpose beyond copper-gold extraction [1]. CEO Thiessen has consistently framed the mission as winning a legal fight ('Our assertion has consistently been that this veto is illegal') rather than advancing a cause worth pursuing [2]. The mission directly conflicts with Bristol Bay's indigenous communities and threatens the world's largest sockeye salmon fishery. Sinek would view this as a company playing to win a specific game (permit approval), not advancing a cause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2020 'Pebble Tapes' scandal revealed former CEO Tom Collier making statements to undercover investigators that contradicted Congressional testimony, demonstrating a fundamental trust deficit at the leadership level [3]. The company has no disclosed employee count, suggesting a skeleton corporate structure with no meaningful organizational culture. CEO Thiessen's 25-year tenure provides personal continuity, but with no employees to build trusting teams around, the concept is largely inapplicable.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Northern Dynasty has been abandoned by four global mining partners — Mitsubishi, Anglo American, Rio Tinto, and First Quantum — who determined the project was not worth the environmental and reputational risk [3]. Rather than learning from these exits and adapting the project scope or approach, the company continues to pursue the same litigation strategy. The inability to incorporate rival perspectives and stakeholder feedback is the antithesis of Sinek's worthy rivals concept.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Northern Dynasty has zero strategic flexibility — it is a single-asset company entirely dependent on one project that has been vetoed by the EPA and is awaiting a federal court ruling [2]. The company has never pursued any alternative mineral properties, geographic diversification, or business model evolution in over 20 years of operation. The dual-track strategy of litigation and government advocacy represents tactical variation within the same fight,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Northern Dynasty has shown remarkable persistence in challenging the EPA veto through multiple legal avenues, filing detailed constitutional 'takings' claims and response briefs challenging the DOJ's position, culminating in oral arguments on June 25, 2026 [2]. CEO Thiessen's willingness to take on the DOJ for 20+ years requires conviction. However, Sinek would distinguish between courage in service of a Just Cause and stubbornness in pursuit of a specific outcome — without stakeholder alignment, indigenous community support, or a transcendent purpose, this represents persistence without wisdom.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Northern Dynasty represents a highly speculative binary option on the Pebble Mine's judicial outcome, with the deposit containing an estimated 57B lbs copper and 71M oz gold in one of the world's largest undeveloped resources [1]. Oral arguments were held on June 25, 2026 in Alaska Federal District Court, and the matter is now 'ripe for decision,' creating a near-term catalyst for resolution [2]. Copper's critical role in AI data center infrastructure and the energy transition provides a secular demand tailwind for the underlying commodity, and the current administration's executive orders on domestic critical mineral production provide a supportive political backdrop. At $1.12 and ~$630M market cap, the stock is deeply discounted relative to the resource's in-ground value.</w:t>
      </w:r>
    </w:p>
    <w:p>
      <w:pPr>
        <w:spacing w:after="120"/>
      </w:pPr>
      <w:r>
        <w:rPr>
          <w:rFonts w:ascii="Calibri" w:hAnsi="Calibri"/>
          <w:b w:val="0"/>
          <w:color w:val="3A4A28"/>
          <w:sz w:val="20"/>
        </w:rPr>
        <w:t>The bear case remains overwhelming. The stock has declined from $1.62 to $1.12 (-31%) since the previous screen, with the 52-week range reflecting extreme volatility driven entirely by legal speculation [4]. ROE deteriorated sharply to -261.3%, reflecting accelerating capital destruction, and D/E increased from 5% to 30.2% as the company took on additional financing [4]. The DOJ filed its brief supporting the EPA veto in February 2026, and the outcome of the pending judicial decision is highly uncertain — even a favorable ruling would restart years of permitting, environmental review, and partner recruitment before any production could begin [2]. The company has never generated revenue, has no disclosed employees, and would need $5-10B+ in construction capital it cannot independently raise. Four global mining partners have abandoned the project due to environmental and reputational risk, and over 80% of Bristol Bay residents oppose development that threatens the world's largest sockeye salmon fishery [3]. The ~$630M market cap is entirely speculative — there is no operating business to value, and additional dilutive financing will be required to maintain corporate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court ruling on EPA veto challenge following June 25, 2026 oral arguments — a favorable decision could reinstate the permitting process and potentially unlock significant resource value at ~$630M market cap [2]</w:t>
      </w:r>
    </w:p>
    <w:p>
      <w:pPr>
        <w:spacing w:before="40" w:after="40"/>
        <w:ind w:left="283"/>
      </w:pPr>
      <w:r>
        <w:rPr>
          <w:rFonts w:ascii="Calibri" w:hAnsi="Calibri"/>
          <w:b/>
          <w:color w:val="4A6B25"/>
          <w:sz w:val="20"/>
        </w:rPr>
        <w:t xml:space="preserve">2. </w:t>
      </w:r>
      <w:r>
        <w:rPr>
          <w:rFonts w:ascii="Calibri" w:hAnsi="Calibri"/>
          <w:b w:val="0"/>
          <w:color w:val="3A4A28"/>
          <w:sz w:val="20"/>
        </w:rPr>
        <w:t>Trump administration executive orders on domestic critical minerals and potential political support for domestic copper-gold development amid supply chain security concerns and trade tensions</w:t>
      </w:r>
    </w:p>
    <w:p>
      <w:pPr>
        <w:spacing w:before="40" w:after="40"/>
        <w:ind w:left="283"/>
      </w:pPr>
      <w:r>
        <w:rPr>
          <w:rFonts w:ascii="Calibri" w:hAnsi="Calibri"/>
          <w:b/>
          <w:color w:val="4A6B25"/>
          <w:sz w:val="20"/>
        </w:rPr>
        <w:t xml:space="preserve">3. </w:t>
      </w:r>
      <w:r>
        <w:rPr>
          <w:rFonts w:ascii="Calibri" w:hAnsi="Calibri"/>
          <w:b w:val="0"/>
          <w:color w:val="3A4A28"/>
          <w:sz w:val="20"/>
        </w:rPr>
        <w:t>Copper price strength driven by AI data center buildout and energy transition demand, increasing the economic and strategic case for development of one of the world's largest undeveloped copper deposits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DOJ's February 2026 court brief supporting the EPA veto signals the federal government is defending the regulatory determination, creating a substantial legal hurdle — the judicial outcome is binary and unpredictable, and an adverse ruling could permanently close the permitting path [2]</w:t>
      </w:r>
    </w:p>
    <w:p>
      <w:pPr>
        <w:spacing w:before="40" w:after="40"/>
        <w:ind w:left="283"/>
      </w:pPr>
      <w:r>
        <w:rPr>
          <w:rFonts w:ascii="Calibri" w:hAnsi="Calibri"/>
          <w:b/>
          <w:color w:val="4A6B25"/>
          <w:sz w:val="20"/>
        </w:rPr>
        <w:t xml:space="preserve">2. </w:t>
      </w:r>
      <w:r>
        <w:rPr>
          <w:rFonts w:ascii="Calibri" w:hAnsi="Calibri"/>
          <w:b w:val="0"/>
          <w:color w:val="3A4A28"/>
          <w:sz w:val="20"/>
        </w:rPr>
        <w:t>Accelerating capital destruction — ROE of -261.3% and increasing D/E from 5% to 30.2% indicate the company is consuming its remaining equity at an accelerating rate, with additional dilutive financing required to maintain operations [4]</w:t>
      </w:r>
    </w:p>
    <w:p>
      <w:pPr>
        <w:spacing w:before="40" w:after="40"/>
        <w:ind w:left="283"/>
      </w:pPr>
      <w:r>
        <w:rPr>
          <w:rFonts w:ascii="Calibri" w:hAnsi="Calibri"/>
          <w:b/>
          <w:color w:val="4A6B25"/>
          <w:sz w:val="20"/>
        </w:rPr>
        <w:t xml:space="preserve">3. </w:t>
      </w:r>
      <w:r>
        <w:rPr>
          <w:rFonts w:ascii="Calibri" w:hAnsi="Calibri"/>
          <w:b w:val="0"/>
          <w:color w:val="3A4A28"/>
          <w:sz w:val="20"/>
        </w:rPr>
        <w:t>Zero diversification — single-asset company with no revenue, no operations, no disclosed employees, and no Plan B if litigation fails, while four global mining partners and 80%+ of local residents have rejected the project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Mining operations are physically intensive and AI-resistant by nature — extracting copper and gold from underground deposits requires heavy machinery, physical processing, and transportation that AI cannot substitute [1]. The theoretical Pebble Mine would involve physical extraction, concentration, and shipping that software cannot replace. However, Northern Dynasty has no mining operations to protect or enhance — the company is currently a litigation vehicle, not an operating mine. AI-powered environmental monitoring, satellite imaging, and impact assessment tools could increase scrutiny on the project's environmental footprint, potentially strengthening opposition arguments in the ongoing court case [3]. The AI resilience score reflects the inherent protection of physical mining but is significantly moderated by the company's non-operational status. AI Opportunity (0/1): Northern Dynasty does not generate any revenue, let alone AI-related revenue. The company has no operational activities that could benefit from or produce AI-driven income.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Northern Dynasty Minerals FY2025 and Q1 2026 Results — Zero Revenue, 2025 Net Loss C$104M, Cash C$54.7M Year-End 2025, C$52.6M Q1 2026, Pebble Deposit 57B lbs Cu / 71M oz Au, SEC 6-K/Quartr, 2026</w:t>
      </w:r>
    </w:p>
    <w:p>
      <w:pPr>
        <w:spacing w:before="20" w:after="20"/>
        <w:ind w:left="170"/>
      </w:pPr>
      <w:r>
        <w:rPr>
          <w:rFonts w:ascii="Calibri" w:hAnsi="Calibri"/>
          <w:b/>
          <w:color w:val="4A6B25"/>
          <w:sz w:val="15"/>
        </w:rPr>
        <w:t xml:space="preserve">2. </w:t>
      </w:r>
      <w:r>
        <w:rPr>
          <w:rFonts w:ascii="Calibri" w:hAnsi="Calibri"/>
          <w:b w:val="0"/>
          <w:color w:val="3A4A28"/>
          <w:sz w:val="17"/>
        </w:rPr>
        <w:t>Northern Dynasty Minerals Litigation Updates — Oral Arguments June 25, 2026; DOJ Brief Supporting Veto February 2026; Federal Court Decision Pending, CEO Ron Thiessen 25-Year Tenure, StockTitan/SEC Filings, 2026</w:t>
      </w:r>
    </w:p>
    <w:p>
      <w:pPr>
        <w:spacing w:before="20" w:after="20"/>
        <w:ind w:left="170"/>
      </w:pPr>
      <w:r>
        <w:rPr>
          <w:rFonts w:ascii="Calibri" w:hAnsi="Calibri"/>
          <w:b/>
          <w:color w:val="4A6B25"/>
          <w:sz w:val="15"/>
        </w:rPr>
        <w:t xml:space="preserve">3. </w:t>
      </w:r>
      <w:r>
        <w:rPr>
          <w:rFonts w:ascii="Calibri" w:hAnsi="Calibri"/>
          <w:b w:val="0"/>
          <w:color w:val="3A4A28"/>
          <w:sz w:val="17"/>
        </w:rPr>
        <w:t>Pebble Project Environmental Opposition — Bristol Bay Community Opposition (80%+), Mining Partner Exits (Mitsubishi, Anglo, Rio Tinto, First Quantum), NRDC Critique, Pebble Tapes Scandal, DOJ Backing Veto, Northern Miner/NRDC,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NAK Key Statistics: Price $1.12, Market Cap $630M, D/E 30.2%, ROE -261.3%, Avg Volume 3.94M, Forward P/E -39.9,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