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NAT</w:t>
      </w:r>
      <w:r>
        <w:rPr>
          <w:rFonts w:ascii="Calibri" w:hAnsi="Calibri"/>
          <w:b/>
          <w:color w:val="1A2010"/>
          <w:sz w:val="40"/>
        </w:rPr>
        <w:t xml:space="preserve">  Nordic American Tankers Limited</w:t>
      </w:r>
    </w:p>
    <w:p>
      <w:pPr>
        <w:spacing w:after="120"/>
      </w:pPr>
      <w:r>
        <w:rPr>
          <w:rFonts w:ascii="Calibri" w:hAnsi="Calibri"/>
          <w:b/>
          <w:color w:val="6E8450"/>
          <w:sz w:val="18"/>
        </w:rPr>
        <w:t>DIVIDEND SLEEVE · 2026-08-29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Marine Shipping · NYSE · Bermuda</w:t>
      </w:r>
    </w:p>
    <w:p>
      <w:pPr>
        <w:spacing w:after="80"/>
      </w:pPr>
      <w:r>
        <w:rPr>
          <w:rFonts w:ascii="Calibri" w:hAnsi="Calibri"/>
          <w:b w:val="0"/>
          <w:color w:val="3A4A28"/>
          <w:sz w:val="20"/>
        </w:rPr>
        <w:t>Nordic American Tankers Limited owns, operates, and charters a fleet of 20 double-hull Suezmax crude oil tankers internationally. The company serves oil companies, oil traders, and other entities requiring crude oil transportation services. Founded in 1995 and headquartered in Hamilton, Bermuda, NAT is one of the largest independent Suezmax tanker owners and operators, with only 18 shore-based employees overseeing fleet operations.</w:t>
      </w:r>
    </w:p>
    <w:p>
      <w:r>
        <w:rPr>
          <w:rFonts w:ascii="Calibri" w:hAnsi="Calibri"/>
          <w:b/>
          <w:color w:val="6E8450"/>
          <w:sz w:val="18"/>
        </w:rPr>
        <w:t>18 Employees · https://www.nat.bm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NAT operates the same business model it has maintained for 31 years — owning and operating Suezmax tankers for crude oil transportation [3]. No new products, market pivots, or business model transformations. The fleet composition has remained essentially unchanged. AI Deployment (0/2): The company has stated it has 'not integrated the use of artificial intelligence in its business currently' and cannot determine the impact of such technology on its industry [3]. Market Share (0/2): NAT operates 20 Suezmax vessels, a modest fleet in a highly fragmented global tanker market with hundreds of operators. No meaningful market share differentiation or category leadership [5]. Product Pipeline (0/2): No next-generation products, technology development, or innovation pipeline. Tanker operations are a commoditized service with no product differentiation [3]. R&amp;D Intensity (0/1): Shipping company with essentially zero R&amp;D expenditure. All capital goes to vessel maintenance and acquisition, not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NAT describes its focus in generic terms centered on delivering shareholder value through Suezmax tanker operations and maintaining a 'pure play' tanker fleet [3]. This is a financial objective, not a purpose statement — interchangeable with any shipping company. Community Impact (0/2): Only 18 shore-based employees. No evidence of charitable programs, foundation activity, or community investment beyond standard corporate operations. Employee Retention (1/2): CEO Herbjorn Hansson has led the company since 1995 — an extraordinary 31-year tenure demonstrating deep personal commitment [3]. The company emphasizes seafarer welfare, stating 'we need our seafarers to be safe and feel supported,' though the tiny shore staff makes broader retention data moot [3]. Insider Buying (2/2): Meaningful net insider buying by both CEO Herbjorn Hansson (purchased 100,000 shares at $6.03 in July 2026, total ownership now 5.7M shares) and Vice Chairman Alexander Hansson (purchased 145,000 additional shares), making the Hansson family the largest private shareholder group [4]. This represents significant open-market conviction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topline momentum offset by dividend quality issues. Q1 2026 revenue doubled to $77.5M and Q2 2026 reached $169M (up 26.4% YoY), reflecting favorable tanker market conditions and geopolitical disruptions extending voyage routes [1][2]. Forward P/E of 8.56 reflects sharply improved analyst estimates (2026E EPS of $0.63, up from $0.43 earlier) and scores perfectly against the 20 target. D/E of 91.1% is moderately above the 70% target ($415M debt against $456M equity). ROE of 11.4% falls short of the 15% target. Profit margin of 16.4% is below the 20% target but reflects meaningful profitability [5]. The dividend metrics are significantly weak: payout ratio of 181.7% exceeds earnings (variable dividends track cash flow, not income), consecutive years of dividend growth is zero (2025 payout of $0.13 was down from $0.40 in 2024), and 5yr dividend growth CAGR is approximately -22% (2020: $0.45 to 2025: $0.13) [5]. Revenue 3yr CAGR of approximately -4.9% (2022: $339M to 2025: $292M) scores near zero despite the recent quarterly surge. Liquidity floor cleared: 4.4M avg volume x $6.00 = $26.4M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Nordic American Tankers is a quintessential finite game player. The company exists to own tankers, pay variable dividends based on cyclical freight rates, and return capital to shareholders. There is no articulated Just Cause, no competitive learning orientation, and no strategic evolution. CEO Hansson's 31-year tenure provides remarkable operational stability, but the company's strategic purpose has not evolved from its 1995 founding — it is playing to collect charter rates, not to build something that endures beyond the current commodity cycle [3].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NAT exists to own and operate Suezmax tankers and distribute variable dividends to shareholders based on freight rate cycles [3]. There is no articulated vision of a better future, no purpose beyond profit extraction from a commodity business. The company's website and public communications describe operational capabilities and dividend history, not a deeper 'why.' This is a financial vehicle, not a mission-driven organization.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Hansson's 31-year tenure is remarkably stable, and the company emphasizes seafarer safety and welfare in public communications: 'our success relies on many people doing their best around the clock' and 'we need our seafarers to be safe and feel supported' [3]. The 18-person shore staff is too small for meaningful organizational culture assessment, but leadership continuity and stated crew welfare values suggest adequate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mindset. The tanker industry is a commoditized market where competition is based on fleet size, charter rates, and operational efficiency rather than strategic differentiation. NAT does not acknowledge rivals' strengths or use competitive dynamics as motivation for improvement in public communications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NAT has operated the same Suezmax tanker business model since 1995 with no strategic evolution — same vessel class, same commodity (crude oil), same business model (spot and time charters) [3]. The company has not demonstrated any willingness to pivot, diversify, or transform in response to energy transition trends, decarbonization pressures, or changing market conditions. The fleet has been maintained rather than evolved.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that sacrifice near-term results for long-term capability. NAT's strategy is purely reactive to tanker market cycles — paying higher dividends when rates are strong, cutting them when rates weaken [5]. The variable dividend policy itself is the opposite of long-term commitment to shareholders. No examples of investing in future capabilities, entering new markets, or making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NAT is delivering exceptional near-term results as geopolitical disruptions drive tanker utilization to multi-year highs. Q1 2026 revenue doubled to $77.5M with net income of $46.3M ($0.22 EPS), and Q2 2026 revenue reached $169M (up 26.4% YoY) [1][2]. The 15.8% trailing dividend yield reflects the current earnings cycle, and the company hiked its dividend after the Q1 beat [2]. Forward P/E of 8.56 based on consensus 2026E EPS of $0.63 reflects attractive valuation for a cyclical beneficiary, and the Suezmax market is tightening as Red Sea disruptions and Strait of Hormuz tensions extend voyage distances, effectively reducing available vessel supply [4]. NAT's 20-vessel fleet is well-positioned to capture elevated charter rates through this cycle.</w:t>
      </w:r>
    </w:p>
    <w:p>
      <w:pPr>
        <w:spacing w:after="120"/>
      </w:pPr>
      <w:r>
        <w:rPr>
          <w:rFonts w:ascii="Calibri" w:hAnsi="Calibri"/>
          <w:b w:val="0"/>
          <w:color w:val="3A4A28"/>
          <w:sz w:val="20"/>
        </w:rPr>
        <w:t>The fundamental bear case is that NAT is a pure commodity cyclical with zero strategic moat, zero innovation, and a 31-year track record of volatile dividends that track freight rate cycles rather than building durable shareholder value. The 5yr dividend growth CAGR of -22% (from $0.45 in 2020 to $0.13 in 2025) illustrates the volatility — this is not a dividend growth stock but a variable distribution vehicle [5]. Revenue 3yr CAGR of -4.9% reflects the cyclical nature beneath the current boom. The 181.7% payout ratio indicates the company pays more in dividends than it earns, funded by cash flow timing differences. Energy transition headwinds, including decarbonization mandates and potential IMO regulations, pose long-term demand risk for crude oil transportation. Jim Cramer has expressed bearish sentiment, and analysts have downgraded the stock amid concerns that current tanker market conditions may not sustain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geopolitical disruptions (Red Sea shipping attacks, Strait of Hormuz tensions) extending Suezmax voyage distances and tightening vessel supply through 2026-2027</w:t>
      </w:r>
    </w:p>
    <w:p>
      <w:pPr>
        <w:spacing w:before="40" w:after="40"/>
        <w:ind w:left="283"/>
      </w:pPr>
      <w:r>
        <w:rPr>
          <w:rFonts w:ascii="Calibri" w:hAnsi="Calibri"/>
          <w:b/>
          <w:color w:val="4A6B25"/>
          <w:sz w:val="20"/>
        </w:rPr>
        <w:t xml:space="preserve">2. </w:t>
      </w:r>
      <w:r>
        <w:rPr>
          <w:rFonts w:ascii="Calibri" w:hAnsi="Calibri"/>
          <w:b w:val="0"/>
          <w:color w:val="3A4A28"/>
          <w:sz w:val="20"/>
        </w:rPr>
        <w:t>Tanker market supply constraints as limited new vessel orders and aging fleet retirements reduce available capacity, supporting elevated charter rates</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increases if Q2-Q4 2026 earnings sustain the strong Q1 pace, attracting yield-seeking investors to the 15.8% trailing yield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Tanker freight rates are inherently cyclical — any resolution of geopolitical disruptions (Red Sea ceasefire, Iran deal) could rapidly normalize voyage distances and collapse charter rates and dividends</w:t>
      </w:r>
    </w:p>
    <w:p>
      <w:pPr>
        <w:spacing w:before="40" w:after="40"/>
        <w:ind w:left="283"/>
      </w:pPr>
      <w:r>
        <w:rPr>
          <w:rFonts w:ascii="Calibri" w:hAnsi="Calibri"/>
          <w:b/>
          <w:color w:val="4A6B25"/>
          <w:sz w:val="20"/>
        </w:rPr>
        <w:t xml:space="preserve">2. </w:t>
      </w:r>
      <w:r>
        <w:rPr>
          <w:rFonts w:ascii="Calibri" w:hAnsi="Calibri"/>
          <w:b w:val="0"/>
          <w:color w:val="3A4A28"/>
          <w:sz w:val="20"/>
        </w:rPr>
        <w:t>Payout ratio of 181.7% and 5yr dividend growth CAGR of -22% reflect a structurally unsustainable dividend policy that creates false yield signals for income investors seeking reliability</w:t>
      </w:r>
    </w:p>
    <w:p>
      <w:pPr>
        <w:spacing w:before="40" w:after="40"/>
        <w:ind w:left="283"/>
      </w:pPr>
      <w:r>
        <w:rPr>
          <w:rFonts w:ascii="Calibri" w:hAnsi="Calibri"/>
          <w:b/>
          <w:color w:val="4A6B25"/>
          <w:sz w:val="20"/>
        </w:rPr>
        <w:t xml:space="preserve">3. </w:t>
      </w:r>
      <w:r>
        <w:rPr>
          <w:rFonts w:ascii="Calibri" w:hAnsi="Calibri"/>
          <w:b w:val="0"/>
          <w:color w:val="3A4A28"/>
          <w:sz w:val="20"/>
        </w:rPr>
        <w:t>Long-term energy transition risk as decarbonization mandates, IMO emissions regulations, and potential decline in global crude oil demand threaten the fundamental business model of crude oil transportation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Crude oil tanker shipping is a physical-world operation that AI structurally cannot replace — transporting millions of barrels of crude oil across oceans requires physical ships, trained crews, port infrastructure, and maritime navigation [3]. The company has explicitly stated 'we do not expect AI to cause increased risk to our industry or business' [3]. Moreover, AI data center expansion increases global energy consumption, which indirectly supports crude oil demand and tanker utilization. Geopolitical disruptions (Houthi attacks on Red Sea shipping, Strait of Hormuz tensions) extend voyage distances and tighten vessel supply in ways that AI cannot mitigate [4]. The business requires physical-world capabilities — ship maintenance, crew management, port operations — that are categorically immune to digital substitution. AI Opportunity (0/1): No AI-related revenue. The company has no plans to deploy AI commercially and does not generate revenue from any technology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Nordic American Tankers Q1 2026 Earnings — Yahoo Finance/SEC 6-K Filing, May 2026</w:t>
      </w:r>
    </w:p>
    <w:p>
      <w:pPr>
        <w:spacing w:before="20" w:after="20"/>
        <w:ind w:left="170"/>
      </w:pPr>
      <w:r>
        <w:rPr>
          <w:rFonts w:ascii="Calibri" w:hAnsi="Calibri"/>
          <w:b/>
          <w:color w:val="4A6B25"/>
          <w:sz w:val="15"/>
        </w:rPr>
        <w:t xml:space="preserve">2. </w:t>
      </w:r>
      <w:r>
        <w:rPr>
          <w:rFonts w:ascii="Calibri" w:hAnsi="Calibri"/>
          <w:b w:val="0"/>
          <w:color w:val="3A4A28"/>
          <w:sz w:val="17"/>
        </w:rPr>
        <w:t>Nordic American Tankers Q2 2026 Results and Dividend Hike — AAII/SahmCapital, June 2026</w:t>
      </w:r>
    </w:p>
    <w:p>
      <w:pPr>
        <w:spacing w:before="20" w:after="20"/>
        <w:ind w:left="170"/>
      </w:pPr>
      <w:r>
        <w:rPr>
          <w:rFonts w:ascii="Calibri" w:hAnsi="Calibri"/>
          <w:b/>
          <w:color w:val="4A6B25"/>
          <w:sz w:val="15"/>
        </w:rPr>
        <w:t xml:space="preserve">3. </w:t>
      </w:r>
      <w:r>
        <w:rPr>
          <w:rFonts w:ascii="Calibri" w:hAnsi="Calibri"/>
          <w:b w:val="0"/>
          <w:color w:val="3A4A28"/>
          <w:sz w:val="17"/>
        </w:rPr>
        <w:t>Nordic American Tankers Annual Report (20-F) 2025 — SEC Filing, 2026</w:t>
      </w:r>
    </w:p>
    <w:p>
      <w:pPr>
        <w:spacing w:before="20" w:after="20"/>
        <w:ind w:left="170"/>
      </w:pPr>
      <w:r>
        <w:rPr>
          <w:rFonts w:ascii="Calibri" w:hAnsi="Calibri"/>
          <w:b/>
          <w:color w:val="4A6B25"/>
          <w:sz w:val="15"/>
        </w:rPr>
        <w:t xml:space="preserve">4. </w:t>
      </w:r>
      <w:r>
        <w:rPr>
          <w:rFonts w:ascii="Calibri" w:hAnsi="Calibri"/>
          <w:b w:val="0"/>
          <w:color w:val="3A4A28"/>
          <w:sz w:val="17"/>
        </w:rPr>
        <w:t>Nordic American Tankers CEO Hansson on Strait of Hormuz and Insider Purchases — CNBC/MarketScreener,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NAT Key Statistics and Financial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