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NDAQ</w:t>
      </w:r>
      <w:r>
        <w:rPr>
          <w:rFonts w:ascii="Calibri" w:hAnsi="Calibri"/>
          <w:b/>
          <w:color w:val="1A2010"/>
          <w:sz w:val="40"/>
        </w:rPr>
        <w:t xml:space="preserve">  Nasdaq, Inc.</w:t>
      </w:r>
    </w:p>
    <w:p>
      <w:pPr>
        <w:spacing w:after="120"/>
      </w:pPr>
      <w:r>
        <w:rPr>
          <w:rFonts w:ascii="Calibri" w:hAnsi="Calibri"/>
          <w:b/>
          <w:color w:val="6E8450"/>
          <w:sz w:val="18"/>
        </w:rPr>
        <w:t>GROWTH SLEEVE · 2026-08-29 · Inspire: 45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NASDAQ · United States</w:t>
      </w:r>
    </w:p>
    <w:p>
      <w:pPr>
        <w:spacing w:after="80"/>
      </w:pPr>
      <w:r>
        <w:rPr>
          <w:rFonts w:ascii="Calibri" w:hAnsi="Calibri"/>
          <w:b w:val="0"/>
          <w:color w:val="3A4A28"/>
          <w:sz w:val="20"/>
        </w:rPr>
        <w:t>Nasdaq, Inc. operates as a global technology company serving capital markets and other industries. It operates through three segments: Capital Access Platforms (listings, index, workflow and insights), Financial Technology (anti-financial crime technology via Adenza, regulatory technology, and capital markets technology), and Market Services (equity and derivatives trading, clearing, and settlement). Serves approximately 6,000 clients across 50+ countries.</w:t>
      </w:r>
    </w:p>
    <w:p>
      <w:r>
        <w:rPr>
          <w:rFonts w:ascii="Calibri" w:hAnsi="Calibri"/>
          <w:b/>
          <w:color w:val="6E8450"/>
          <w:sz w:val="18"/>
        </w:rPr>
        <w:t>9,613 Employees · https://www.nasdaq.com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Nasdaq transformed itself from a stock exchange into a technology company through the $10.5B acquisition of Adenza (2023), which added anti-financial crime and regulatory technology, creating a Financial Technology segment generating $539M in Q2 2026 revenue (up 16% YoY) [1][6]. This redefined the company's business model and revenue mix. Q2 2026 delivered record results with $1.5B net revenue (+15%) and non-GAAP EPS of $1.07 (+25%), the first quarter above $1.00 [6]. AI Deployment (1/2): CEO Friedman is putting AI 'at the center of a cultural transformation' at Nasdaq, with AI-powered surveillance and compliance tools deployed across the platform [3][7]. However, specific AI-driven revenue or cost savings have not been separately quantified. Market Share (2/2): Nasdaq operates the world's most recognized stock exchange brand, leading in technology listings (FAANG+ companies), market data distribution, and index products — the Nasdaq-100 index alone supports trillions in ETF assets [1]. Category leader with significant network effects and regulatory moats. Product Pipeline (1/2): Investor Day 2026 announced new growth targets, a $3B buyback program, and a strategic push into AI, cloud, and blockchain technology [7]. Financial Technology segment growing 16% with Adenza cross-sell acceleration across 6,000+ clients. R&amp;D Intensity (1/1): Substantial technology investment across cloud, AI, and blockchain as a self-described 'technology company,' with infrastructure supporting global trading, clearing, and surveillance systems.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Nasdaq's stated purpose to 'make economies more efficient and accessible to all' goes beyond running a stock exchange — it connects capital markets infrastructure to democratizing financial access and economic participation [4]. Leadership references this purpose in strategic decisions, including the Adenza acquisition to fight financial crime and the development of ESG reporting tools. Distinctive and intentional, though not yet validated through decades of consistent execution under this framing. Community Impact (1/2): Nasdaq participates in UN Global Compact, UN Principles for Responsible Investment (UNPRI), Sustainable Stock Exchanges Initiative, and the Task Force on Nature-related Financial Disclosures [4]. General corporate philanthropy and ESG leadership in the exchange space, but no specific community investment programs with quantified dollar amounts cited. Employee Retention (1/2): 9,613 employees in a culture described as emphasizing 'innovation, teamwork, collaboration, and client focus, with technology interwoven into the company's DNA' [4]. CEO Friedman has led since 2017 (9 years), providing stable leadership. Average retention indicators without standout data. Insider Buying (0/2): Recent insider data shows net selling — Bryan Smith sold $260K in shares in June 2026, while director compensation grants are routine stock awards, not conviction purchases.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broadly excellent metrics across the board. D/E of 79.1% is slightly above the 70% target, reflecting the $10.5B Adenza acquisition debt, but the company generates strong free cash flow to service it [1][5]. ROE of 16.2% exceeds the 15% target. Revenue growth YoY of 15% in Q2 2026 with all three divisions delivering double-digit growth scores perfectly — Q2 net revenue reached $1.5B, a historic milestone [6]. Revenue 5yr CAGR of approximately 9.9% approaches the 10% target. Forward P/E of 21.8 is slightly above the 20 target, reflecting the stock's rally from $82 to $90 on strong Q2 results. Profit margin of 35.3% scores perfectly against the 20% target [5]. Forward PEG of 1.92 scores 0.54 — the primary drag on the infrastructure score, reflecting a premium valuation relative to growth rate. Annualized Recurring Revenue (ARR) of $3.3B, growing 11-12% YoY, underscores revenue durability [6]. Liquidity floor cleared: 3.8M avg volume x $90.23 = $341M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Nasdaq under CEO Adena Friedman demonstrates strong infinite game characteristics. The transformation from a stock exchange to a technology company serving global capital markets reflects a willingness to fundamentally reinvent the business in service of a purpose that transcends any single product. The $10.5B Adenza acquisition, emphasis on financial inclusion, and consistent dividend growth over 14 years indicate a company playing to keep playing rather than to win this quarter [1][4].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'Make economies more efficient and accessible to all' is a genuine cause that connects Nasdaq's technology infrastructure to broader societal benefit — democratizing capital access, fighting financial crime through Adenza, and supporting transparent markets [4]. Leadership references this purpose in strategic decisions. The Adenza acquisition specifically targets financial crime prevention, aligning business growth with societal good. However, this framing is relatively recent under Friedman and hasn't yet been tested through leadership transitions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Friedman has led since 2017 (9 years), providing stable leadership through the transformative Adenza acquisition. The 9,613-person workforce operates in a culture emphasizing 'innovation, teamwork, collaboration, and client focus' [4]. Technology company culture with competitive compensation and intellectual engagement. Adequate trust environment without major cultural concerns, but no exceptional evidence of psychological safety or employee empowerment practices.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Nasdaq consistently engages with competition from NYSE/ICE, LSEG, and emerging fintech players as motivation to improve. The company's strategic evolution — from exchange to technology company — reflects learning from rivals' strengths. President Tal Cohen's emphasis on tokenization and blockchain shows Nasdaq studying decentralized finance innovations rather than dismissing them [4]. Competitive framing focuses on improving capabilities through technology investment rather than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Nasdaq has fundamentally reinvented itself from a stock exchange into a technology company serving global capital markets. The $10.5B Adenza acquisition redefined the business, creating a Financial Technology segment that now generates $517M quarterly revenue (up 20%) [1]. Three distinct business segments (Capital Access Platforms, Financial Technology, Market Services) replace what was a single exchange operation. This transformation rivals Sinek's canonical examples — the pivot was driven by Friedman's vision of Nasdaq's purpose, not by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$10.5B Adenza acquisition was a bold, transformative bet that added $9.5B in debt to acquire anti-financial crime and regulatory technology capabilities [1]. Friedman chose to invest aggressively in a strategic vision — financial technology infrastructure serving global markets — rather than optimizing the profitable exchange business for near-term earnings. The company has maintained 14 consecutive years of dividend increases through this transformation, demonstrating commitment to both growth and shareholder returns. The decision to enter anti-financial crime technology represented a contrarian bet that linked business growth to societal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Nasdaq is executing a successful transformation from exchange operator to technology company, with Q2 2026 delivering a record $1.5B net revenue (up 15% YoY) and non-GAAP EPS of $1.07 (up 25%) — the first quarter above $1.00 [6]. The Financial Technology segment ($539M, up 16%) remains the growth engine, driven by Adenza cross-selling into the existing 6,000+ client base, while Capital Access Platforms grew 19% [6]. ARR of $3.3B growing 11-12% provides revenue visibility and predictability. The 2026 Investor Day announced a $3B share buyback program and new growth targets centered on AI, cloud, and blockchain [7]. Forward P/E of 21.8 reflects the stock's rally but is reasonable for a company with 35.3% profit margins, 16.2% ROE, and structural competitive advantages including regulatory moats, brand recognition, and network effects. The 14-year dividend growth streak (10.2% 5yr CAGR) and 32.5% payout ratio demonstrate capital allocation discipline alongside growth investment.</w:t>
      </w:r>
    </w:p>
    <w:p>
      <w:pPr>
        <w:spacing w:after="120"/>
      </w:pPr>
      <w:r>
        <w:rPr>
          <w:rFonts w:ascii="Calibri" w:hAnsi="Calibri"/>
          <w:b w:val="0"/>
          <w:color w:val="3A4A28"/>
          <w:sz w:val="20"/>
        </w:rPr>
        <w:t>The primary risk is the elevated valuation following the stock's rally to $90 from $82. Forward P/E of 21.8 and Forward PEG of 1.92 suggest limited margin of safety if organic growth decelerates from the current 15% pace [5][6]. While the 79.1% D/E is manageable against strong free cash flow generation, the Adenza integration must continue delivering cross-sell acceleration to justify the premium. Market Services revenue (trading and clearing) remains tied to market activity levels, introducing cyclicality that could mask weakness in more strategic segments during quiet markets. Additionally, the financial technology market is increasingly competitive, with Bloomberg, Refinitiv, and AI-powered fintech startups all targeting the same regulatory and compliance spending pool that Adenza addresses.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Adenza cross-sell acceleration into the existing 6,000+ client base driving Financial Technology segment growth of 16% with expanding organic contribution as anti-financial crime and regulatory technology adoption increases [6]</w:t>
      </w:r>
    </w:p>
    <w:p>
      <w:pPr>
        <w:spacing w:before="40" w:after="40"/>
        <w:ind w:left="283"/>
      </w:pPr>
      <w:r>
        <w:rPr>
          <w:rFonts w:ascii="Calibri" w:hAnsi="Calibri"/>
          <w:b/>
          <w:color w:val="4A6B25"/>
          <w:sz w:val="20"/>
        </w:rPr>
        <w:t xml:space="preserve">2. </w:t>
      </w:r>
      <w:r>
        <w:rPr>
          <w:rFonts w:ascii="Calibri" w:hAnsi="Calibri"/>
          <w:b w:val="0"/>
          <w:color w:val="3A4A28"/>
          <w:sz w:val="20"/>
        </w:rPr>
        <w:t>$3B share buyback program announced at Investor Day 2026, providing significant capital return alongside the 14-year dividend growth streak and demonstrating balance sheet confidence [7]</w:t>
      </w:r>
    </w:p>
    <w:p>
      <w:pPr>
        <w:spacing w:before="40" w:after="40"/>
        <w:ind w:left="283"/>
      </w:pPr>
      <w:r>
        <w:rPr>
          <w:rFonts w:ascii="Calibri" w:hAnsi="Calibri"/>
          <w:b/>
          <w:color w:val="4A6B25"/>
          <w:sz w:val="20"/>
        </w:rPr>
        <w:t xml:space="preserve">3. </w:t>
      </w:r>
      <w:r>
        <w:rPr>
          <w:rFonts w:ascii="Calibri" w:hAnsi="Calibri"/>
          <w:b w:val="0"/>
          <w:color w:val="3A4A28"/>
          <w:sz w:val="20"/>
        </w:rPr>
        <w:t>AI-driven cultural transformation under CEO Friedman, with AI-powered surveillance, compliance, and market analytics products positioning Nasdaq to capture growing regulatory technology spending globally [3][7]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1.92 at a forward P/E of 21.8 provides limited margin of safety following the stock's rally — any deceleration in organic revenue growth from the current 15% pace could trigger multiple compression</w:t>
      </w:r>
    </w:p>
    <w:p>
      <w:pPr>
        <w:spacing w:before="40" w:after="40"/>
        <w:ind w:left="283"/>
      </w:pPr>
      <w:r>
        <w:rPr>
          <w:rFonts w:ascii="Calibri" w:hAnsi="Calibri"/>
          <w:b/>
          <w:color w:val="4A6B25"/>
          <w:sz w:val="20"/>
        </w:rPr>
        <w:t xml:space="preserve">2. </w:t>
      </w:r>
      <w:r>
        <w:rPr>
          <w:rFonts w:ascii="Calibri" w:hAnsi="Calibri"/>
          <w:b w:val="0"/>
          <w:color w:val="3A4A28"/>
          <w:sz w:val="20"/>
        </w:rPr>
        <w:t>ARR growth deceleration from 13% to 11-12% in Q2 2026 bears watching — if the recurring revenue engine slows further, it undermines the premium technology-company valuation [6]</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Bloomberg, Refinitiv/LSEG, and AI-powered fintech startups targeting the same regulatory compliance and financial technology spending pool that Adenza serves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Financial market infrastructure is deeply protected from AI disruption through regulatory moats, institutional trust, and network effects that AI cannot replicate [5]. Stock exchange operations, clearing and settlement, and market surveillance require regulatory licenses in every jurisdiction and represent essential infrastructure that AI cannot substitute. The Nasdaq exchange handles trillions in daily trading volume through systems that require regulatory approval to modify. The Financial Technology segment (anti-financial crime, regulatory compliance) actually benefits from AI as regulatory complexity increases demand for Nasdaq's surveillance and compliance tools [1]. However, some data analytics and workflow products face competition from AI-enabled fintech startups that could offer faster, cheaper alternatives to legacy market technology. AI Opportunity (1/1): Nasdaq serves as critical infrastructure for AI companies to list, trade, and access capital — the Nasdaq-100 index captures the core AI ecosystem. Index products ($220M Q1 2026 revenue, up 14%) generate licensing fees from AI-related ETFs [1]. The company is actively building AI capabilities across its surveillance, compliance, and analytics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Nasdaq Q1 2026 Earnings Release — Nasdaq IR/GlobeNewsWire, April 23, 2026</w:t>
      </w:r>
    </w:p>
    <w:p>
      <w:pPr>
        <w:spacing w:before="20" w:after="20"/>
        <w:ind w:left="170"/>
      </w:pPr>
      <w:r>
        <w:rPr>
          <w:rFonts w:ascii="Calibri" w:hAnsi="Calibri"/>
          <w:b/>
          <w:color w:val="4A6B25"/>
          <w:sz w:val="15"/>
        </w:rPr>
        <w:t xml:space="preserve">2. </w:t>
      </w:r>
      <w:r>
        <w:rPr>
          <w:rFonts w:ascii="Calibri" w:hAnsi="Calibri"/>
          <w:b w:val="0"/>
          <w:color w:val="3A4A28"/>
          <w:sz w:val="17"/>
        </w:rPr>
        <w:t>Nasdaq Q1 2026 Earnings Call Highlights — Yahoo Finance, April 2026</w:t>
      </w:r>
    </w:p>
    <w:p>
      <w:pPr>
        <w:spacing w:before="20" w:after="20"/>
        <w:ind w:left="170"/>
      </w:pPr>
      <w:r>
        <w:rPr>
          <w:rFonts w:ascii="Calibri" w:hAnsi="Calibri"/>
          <w:b/>
          <w:color w:val="4A6B25"/>
          <w:sz w:val="15"/>
        </w:rPr>
        <w:t xml:space="preserve">3. </w:t>
      </w:r>
      <w:r>
        <w:rPr>
          <w:rFonts w:ascii="Calibri" w:hAnsi="Calibri"/>
          <w:b w:val="0"/>
          <w:color w:val="3A4A28"/>
          <w:sz w:val="17"/>
        </w:rPr>
        <w:t>Nasdaq CFO on AI Leadership — Fortune, June 24, 2026</w:t>
      </w:r>
    </w:p>
    <w:p>
      <w:pPr>
        <w:spacing w:before="20" w:after="20"/>
        <w:ind w:left="170"/>
      </w:pPr>
      <w:r>
        <w:rPr>
          <w:rFonts w:ascii="Calibri" w:hAnsi="Calibri"/>
          <w:b/>
          <w:color w:val="4A6B25"/>
          <w:sz w:val="15"/>
        </w:rPr>
        <w:t xml:space="preserve">4. </w:t>
      </w:r>
      <w:r>
        <w:rPr>
          <w:rFonts w:ascii="Calibri" w:hAnsi="Calibri"/>
          <w:b w:val="0"/>
          <w:color w:val="3A4A28"/>
          <w:sz w:val="17"/>
        </w:rPr>
        <w:t>Nasdaq Leadership Insights at WEF 2026 and CEO Friedman AI Strategy — Nasdaq Newsroom,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NDAQ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Nasdaq Q2 2026 Earnings Release — Nasdaq IR, July 23, 2026</w:t>
      </w:r>
    </w:p>
    <w:p>
      <w:pPr>
        <w:spacing w:before="20" w:after="20"/>
        <w:ind w:left="170"/>
      </w:pPr>
      <w:r>
        <w:rPr>
          <w:rFonts w:ascii="Calibri" w:hAnsi="Calibri"/>
          <w:b/>
          <w:color w:val="4A6B25"/>
          <w:sz w:val="15"/>
        </w:rPr>
        <w:t xml:space="preserve">7. </w:t>
      </w:r>
      <w:r>
        <w:rPr>
          <w:rFonts w:ascii="Calibri" w:hAnsi="Calibri"/>
          <w:b w:val="0"/>
          <w:color w:val="3A4A28"/>
          <w:sz w:val="17"/>
        </w:rPr>
        <w:t>Nasdaq Investor Day 2026 and CEO Friedman AI Strategy — Yahoo Finance, Semafor, Fortune,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