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NEO</w:t>
      </w:r>
      <w:r>
        <w:rPr>
          <w:rFonts w:ascii="Calibri" w:hAnsi="Calibri"/>
          <w:b/>
          <w:color w:val="1A2010"/>
          <w:sz w:val="40"/>
        </w:rPr>
        <w:t xml:space="preserve">  NeoGenomics, Inc.</w:t>
      </w:r>
    </w:p>
    <w:p>
      <w:pPr>
        <w:spacing w:after="120"/>
      </w:pPr>
      <w:r>
        <w:rPr>
          <w:rFonts w:ascii="Calibri" w:hAnsi="Calibri"/>
          <w:b/>
          <w:color w:val="6E8450"/>
          <w:sz w:val="18"/>
        </w:rPr>
        <w:t>GROWTH SLEEVE · 2026-09-14 · Inspire: 57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NASDAQ · United States</w:t>
      </w:r>
    </w:p>
    <w:p>
      <w:pPr>
        <w:spacing w:after="80"/>
      </w:pPr>
      <w:r>
        <w:rPr>
          <w:rFonts w:ascii="Calibri" w:hAnsi="Calibri"/>
          <w:b w:val="0"/>
          <w:color w:val="3A4A28"/>
          <w:sz w:val="20"/>
        </w:rPr>
        <w:t>NeoGenomics, Inc. operates a network of cancer-focused testing laboratories in the United States and the United Kingdom. The company provides cytogenetics, FISH, flow cytometry, immunohistochemistry, molecular testing, and next-generation sequencing (NGS) services to hospitals, academic centers, oncologists, pharmaceutical companies, and clinical laboratories. Q2 2026 revenue reached $201.7M (+11% YoY), with full-year 2026 guidance raised to $802-$806M and adjusted EBITDA of $56-$58M. CEO Tony Zook leads since April 2025. Founded in 2001, headquartered in Fort Myers, Florida.</w:t>
      </w:r>
    </w:p>
    <w:p>
      <w:r>
        <w:rPr>
          <w:rFonts w:ascii="Calibri" w:hAnsi="Calibri"/>
          <w:b/>
          <w:color w:val="6E8450"/>
          <w:sz w:val="18"/>
        </w:rPr>
        <w:t>2,500 Employees · https://www.neogenomics.com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(2/3): NeoGenomics successfully launched RaDaR ST (minimal residual disease monitoring) and received MolDx approval for PanTracer liquid biopsy in early 2026, opening large addressable markets in precision oncology diagnostics [1]. NGS revenue grew 26% in Q1 2026 and now represents approximately one-third of total clinical revenue, up from roughly one-fifth two years ago [1]. AI Deployment (1/2): The company has a VP of Digital Strategy focused on leveraging AI and automation for operational efficiency and improved diagnostic outcomes, and NGS bioinformatics pipelines incorporate machine learning for variant calling, though quantified AI-specific revenue has not been disclosed [3]. Market Share Leadership (1/2): NeoGenomics is a meaningful player in oncology diagnostics but competes against larger players including Quest, Labcorp, and Foundation Medicine; differentiated positioning as a cancer-focused pure-play but not the category leader [1]. Product Pipeline (1/2): RaDaR ST launched with expected mid-single-digit million revenue contribution; PanTracer liquid biopsy approved; continued NGS expansion provides near-term visibility, though pipeline beyond these launches is not well-detailed [1][2]. R&amp;D Intensity (1/1): Meaningful investment in molecular and NGS capabilities relative to specialty diagnostic peers, evidenced by expanding test menu, RaDaR ST development, and PanTracer advancement.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NeoGenomics' mission — 'We save lives by improving patient care' through cancer diagnostics — is specific, thoughtful, and connects the company's work to a genuine life-saving purpose [4]. Leadership references it in strategic communications, and the cancer testing focus gives it distinctive emotional weight compared to generic lab company messaging. Community Impact (1/2): The 2023 CSR Report highlights environmental initiatives (310 tons recycled via NeoGreen program, 24.5% waste recycled) and community engagement, with the 2023 Employee Engagement Survey showing net improvements in happiness and engagement metrics [5]. Employee Retention (1/2): Voluntary employee turnover decreased to 13% per the ESG report — meaningful improvement though approximately industry average for healthcare [5]. The Q1 2026 earnings highlighted ongoing investment in talent and capabilities, but CEO Tony Zook's appointment in April 2025 marks the latest in a series of leadership transitions that creates organizational uncertainty [3]. Insider Buying (0/2): No evidence of meaningful net insider buying with personal funds identified; historical insider transactions appear compensation-related rather than conviction-driven open market purchases [6].</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Q2 2026 revenue of $201.7M grew 11% YoY with clinical revenue up 14% and NGS growth of 26%, while full-year 2026 guidance was raised to $802-806M with adjusted EBITDA of $56-58M (27-31% growth YoY) [1]. However, the company remains unprofitable with ROE of -12.99%, negative profit margin, and TTM net loss of ~$113M [7]. D/E of 49% is well below the 70% target, scoring full marks. Revenue growth 5yr CAGR of approximately 12.6% exceeds the 10% target. The stock price appreciation to $18.03 from $10.45 (72% increase) has significantly stretched the forward valuation — estimated forward P/E of ~45x scores 0.38 on a 0-1 scale, a meaningful drag [7]. The pharma/nonclinical segment declined 26%, partially offsetting clinical strength. Liquidity passes at ~$33.5M daily traded value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NeoGenomics has a genuine purpose in cancer diagnostics that aligns with infinite-game thinking, but recent leadership instability undermines organizational continuity. The CEO transition to Tony Zook in April 2025 marks the latest in a series of leadership changes, and Glassdoor reviews cite concerns about 'new leadership sacrificing long-term vision for short-term impact.' The company plays in a market that matters — improving cancer diagnosis — but execution has been uneven, and the organizational foundation remains unsettled.</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'We save lives by improving patient care' connected to cancer diagnostics is a genuine cause with real-world impact. The focus on oncology — where accurate diagnostics directly influence treatment decisions and patient survival — gives NeoGenomics a purpose that transcends financial metrics [4]. However, the cause has not been tested through decades of consistent execution under stable leadership; the company is only 25 years old and has changed leadership and strategy multiple times. A genuine but partially lived cause.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indicate cultural challenges — employees cite 'new leadership seems to have sacrificed long-term vision for short-term impact,' with problematic behavior from parts of the leadership team 'regularly tolerated' and career advancement depending 'more on connections than merit or performance' [3]. Frequent executive leadership turnover over the past several years has created repeated operational adjustments and changing internal priorities, making long-term planning difficult. The pattern of leadership change undermines the psychological safety Sinek considers foundational.</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NeoGenomics positions itself as a cancer diagnostics pure-play against larger competitors, but competitive language focuses on differentiation and market positioning rather than learning from rivals. Management does not publicly reference Quest, Labcorp, or Foundation Medicine as worthy rivals whose strengths inform NeoGenomics' improvement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NeoGenomics has evolved from basic cytogenetics into next-generation sequencing and molecular diagnostics, with NGS now growing 26% and representing a third of clinical revenue [1]. The launch of RaDaR ST and PanTracer liquid biopsy represent meaningful strategic evolution into precision medicine. These are incremental evolutions driven by market trends rather than transformative reinvention of the business model.</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Investing in NGS capabilities, RaDaR ST development, and PanTracer liquid biopsy while still unprofitable shows willingness to prioritize long-term capability over immediate earnings. The company raised 2026 adjusted EBITDA guidance to $55-57M while continuing to invest in platform expansion [1][2]. However, management's ability to sustain these investments through the current profitability trough is unproven under relatively new CEO leadership.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NeoGenomics offers pure-play exposure to the precision oncology diagnostics market, with Q2 2026 revenue of $201.7M growing 11% YoY driven by accelerating NGS growth of 26% and clinical revenue up 14% [1]. Full-year 2026 guidance was raised to $802-806M with adjusted EBITDA of $56-58M (27-31% YoY growth), representing a clear profitability inflection trajectory. The RaDaR ST launch and PanTracer MolDx approval add high-margin, clinically differentiated products to the portfolio. D/E of 49% is well below target, and 5yr revenue CAGR of 12.6% demonstrates sustained growth. The Inspire Impact Score of 57 (ALIGNED) supports faith-aligned investor allocation [1].</w:t>
      </w:r>
    </w:p>
    <w:p>
      <w:pPr>
        <w:spacing w:after="120"/>
      </w:pPr>
      <w:r>
        <w:rPr>
          <w:rFonts w:ascii="Calibri" w:hAnsi="Calibri"/>
          <w:b w:val="0"/>
          <w:color w:val="3A4A28"/>
          <w:sz w:val="20"/>
        </w:rPr>
        <w:t>The bear case centers on persistent unprofitability and stretched valuation. Despite $201.7M quarterly revenue and improving trajectory, NeoGenomics still generates ROE of -12.99% and negative profit margin with TTM net loss of ~$113M — the path to GAAP profitability remains unproven [1][7]. The stock's 72% appreciation to $18.03 has pushed the estimated forward P/E to ~45x, pricing in substantial earnings improvement that has not yet materialized. The pharma/nonclinical segment declined 26%, exposing revenue concentration risk in clinical testing. CEO Tony Zook was appointed only in April 2025 and faces Glassdoor culture concerns with employees citing 'resistance to innovation' and management turnover [3]. AI-powered pathology from Paige AI, PathAI, and Google Health poses medium-term disruption risk to image-based diagnostics, while Quest, Labcorp, and Foundation Medicine compete with vastly greater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RaDaR ST and PanTracer liquid biopsy launches establishing NeoGenomics in the high-growth minimal residual disease and liquid biopsy market segments, with large newly accessible addressable markets [1]</w:t>
      </w:r>
    </w:p>
    <w:p>
      <w:pPr>
        <w:spacing w:before="40" w:after="40"/>
        <w:ind w:left="283"/>
      </w:pPr>
      <w:r>
        <w:rPr>
          <w:rFonts w:ascii="Calibri" w:hAnsi="Calibri"/>
          <w:b/>
          <w:color w:val="4A6B25"/>
          <w:sz w:val="20"/>
        </w:rPr>
        <w:t xml:space="preserve">2. </w:t>
      </w:r>
      <w:r>
        <w:rPr>
          <w:rFonts w:ascii="Calibri" w:hAnsi="Calibri"/>
          <w:b w:val="0"/>
          <w:color w:val="3A4A28"/>
          <w:sz w:val="20"/>
        </w:rPr>
        <w:t>Profitability inflection with raised guidance of $55-57M adjusted EBITDA in 2026, potentially triggering re-rating from unprofitable growth to profitable diagnostics platform [1]</w:t>
      </w:r>
    </w:p>
    <w:p>
      <w:pPr>
        <w:spacing w:before="40" w:after="40"/>
        <w:ind w:left="283"/>
      </w:pPr>
      <w:r>
        <w:rPr>
          <w:rFonts w:ascii="Calibri" w:hAnsi="Calibri"/>
          <w:b/>
          <w:color w:val="4A6B25"/>
          <w:sz w:val="20"/>
        </w:rPr>
        <w:t xml:space="preserve">3. </w:t>
      </w:r>
      <w:r>
        <w:rPr>
          <w:rFonts w:ascii="Calibri" w:hAnsi="Calibri"/>
          <w:b w:val="0"/>
          <w:color w:val="3A4A28"/>
          <w:sz w:val="20"/>
        </w:rPr>
        <w:t>Accelerating NGS revenue growth at 26% with expanding molecular testing menu, deepening pharma companion diagnostic partnerships, and average unit price increases of 8% demonstrating pricing power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pathology tools from Paige AI, PathAI, and Google Health could partially automate IHC, cytogenetics, and morphology reading — NeoGenomics' traditional core services — compressing margins and reducing demand for human-operated diagnostic labs over 3-5 years</w:t>
      </w:r>
    </w:p>
    <w:p>
      <w:pPr>
        <w:spacing w:before="40" w:after="40"/>
        <w:ind w:left="283"/>
      </w:pPr>
      <w:r>
        <w:rPr>
          <w:rFonts w:ascii="Calibri" w:hAnsi="Calibri"/>
          <w:b/>
          <w:color w:val="4A6B25"/>
          <w:sz w:val="20"/>
        </w:rPr>
        <w:t xml:space="preserve">2. </w:t>
      </w:r>
      <w:r>
        <w:rPr>
          <w:rFonts w:ascii="Calibri" w:hAnsi="Calibri"/>
          <w:b w:val="0"/>
          <w:color w:val="3A4A28"/>
          <w:sz w:val="20"/>
        </w:rPr>
        <w:t>Persistent GAAP unprofitability despite improving trajectory creates cash burn risk; the June 2026 convertible note offering, while priced at a premium, adds to the $410M debt load and potential future dilution [7][8]</w:t>
      </w:r>
    </w:p>
    <w:p>
      <w:pPr>
        <w:spacing w:before="40" w:after="40"/>
        <w:ind w:left="283"/>
      </w:pPr>
      <w:r>
        <w:rPr>
          <w:rFonts w:ascii="Calibri" w:hAnsi="Calibri"/>
          <w:b/>
          <w:color w:val="4A6B25"/>
          <w:sz w:val="20"/>
        </w:rPr>
        <w:t xml:space="preserve">3. </w:t>
      </w:r>
      <w:r>
        <w:rPr>
          <w:rFonts w:ascii="Calibri" w:hAnsi="Calibri"/>
          <w:b w:val="0"/>
          <w:color w:val="3A4A28"/>
          <w:sz w:val="20"/>
        </w:rPr>
        <w:t>Leadership instability with CEO Tony Zook's April 2025 appointment marking the latest in a series of transitions; Glassdoor reviews suggest cultural headwinds with favoritism and short-term thinking that could impair the innovation pipeline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Cancer diagnostics faces meaningful AI exposure. AI-powered pathology and diagnostic tools from companies like Paige AI, PathAI, and Google Health are demonstrating ability to read tissue slides, identify genetic markers, and interpret molecular data — core activities NeoGenomics performs with human pathologists and technicians [3]. While regulatory barriers (CLIA certification, FDA approval) provide near-term protection, AI could partially replace anatomic pathology workflows over 3-5 years. NeoGenomics' NGS testing (now 33% of clinical revenue, growing 26% [1]) is more defensible since it involves complex wet-lab chemistry that AI cannot replicate, but image-based diagnostics (IHC, cytogenetics) face real substitution risk as AI pathology matures. AI Opportunity (1/1): NeoGenomics deploys AI internally through its digital strategy initiative, leveraging automation for lab workflow efficiency, and NGS bioinformatics pipelines use ML for variant calling and interpretation — generating measurable operational value even if not separately reported as revenue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57</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NeoGenomics Q2 2026 Earnings Release — Revenue $201.7M (+11% YoY), NGS Growth 26%, Clinical Growth 14%, Guidance Raised to $802-806M, EBITDA $56-58M, August 2026</w:t>
      </w:r>
    </w:p>
    <w:p>
      <w:pPr>
        <w:spacing w:before="20" w:after="20"/>
        <w:ind w:left="170"/>
      </w:pPr>
      <w:r>
        <w:rPr>
          <w:rFonts w:ascii="Calibri" w:hAnsi="Calibri"/>
          <w:b/>
          <w:color w:val="4A6B25"/>
          <w:sz w:val="15"/>
        </w:rPr>
        <w:t xml:space="preserve">2. </w:t>
      </w:r>
      <w:r>
        <w:rPr>
          <w:rFonts w:ascii="Calibri" w:hAnsi="Calibri"/>
          <w:b w:val="0"/>
          <w:color w:val="3A4A28"/>
          <w:sz w:val="17"/>
        </w:rPr>
        <w:t>NeoGenomics 2026 Product Launches — RaDaR ST launch, PanTracer MolDx approval, liquid biopsy addressable market expansion, 2026</w:t>
      </w:r>
    </w:p>
    <w:p>
      <w:pPr>
        <w:spacing w:before="20" w:after="20"/>
        <w:ind w:left="170"/>
      </w:pPr>
      <w:r>
        <w:rPr>
          <w:rFonts w:ascii="Calibri" w:hAnsi="Calibri"/>
          <w:b/>
          <w:color w:val="4A6B25"/>
          <w:sz w:val="15"/>
        </w:rPr>
        <w:t xml:space="preserve">3. </w:t>
      </w:r>
      <w:r>
        <w:rPr>
          <w:rFonts w:ascii="Calibri" w:hAnsi="Calibri"/>
          <w:b w:val="0"/>
          <w:color w:val="3A4A28"/>
          <w:sz w:val="17"/>
        </w:rPr>
        <w:t>Glassdoor — NeoGenomics Reviews, leadership culture concerns, AI/digital strategy under VP Elizabeth Floegel, CEO Tony Zook transition April 2025,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NeoGenomics Corporate Website — 'We save lives by improving patient care' mission, cancer diagnostics focus,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NeoGenomics 2023 CSR Report — NeoGreen recycling program (310 tons), 13% voluntary turnover, employee engagement improvements, March 2024</w:t>
      </w:r>
    </w:p>
    <w:p>
      <w:pPr>
        <w:spacing w:before="20" w:after="20"/>
        <w:ind w:left="170"/>
      </w:pPr>
      <w:r>
        <w:rPr>
          <w:rFonts w:ascii="Calibri" w:hAnsi="Calibri"/>
          <w:b/>
          <w:color w:val="4A6B25"/>
          <w:sz w:val="15"/>
        </w:rPr>
        <w:t xml:space="preserve">6. </w:t>
      </w:r>
      <w:r>
        <w:rPr>
          <w:rFonts w:ascii="Calibri" w:hAnsi="Calibri"/>
          <w:b w:val="0"/>
          <w:color w:val="3A4A28"/>
          <w:sz w:val="17"/>
        </w:rPr>
        <w:t>Yahoo Finance — NEO insider transactions and trading data, accessed September 2026</w:t>
      </w:r>
    </w:p>
    <w:p>
      <w:pPr>
        <w:spacing w:before="20" w:after="20"/>
        <w:ind w:left="170"/>
      </w:pPr>
      <w:r>
        <w:rPr>
          <w:rFonts w:ascii="Calibri" w:hAnsi="Calibri"/>
          <w:b/>
          <w:color w:val="4A6B25"/>
          <w:sz w:val="15"/>
        </w:rPr>
        <w:t xml:space="preserve">7. </w:t>
      </w:r>
      <w:r>
        <w:rPr>
          <w:rFonts w:ascii="Calibri" w:hAnsi="Calibri"/>
          <w:b w:val="0"/>
          <w:color w:val="3A4A28"/>
          <w:sz w:val="17"/>
        </w:rPr>
        <w:t>StockAnalysis / Yahoo Finance — NEO key statistics (D/E 49%, ROE -12.99%, stock price $18.03, P/B 0.55), accessed September 2026</w:t>
      </w:r>
    </w:p>
    <w:p>
      <w:pPr>
        <w:spacing w:before="20" w:after="20"/>
        <w:ind w:left="170"/>
      </w:pPr>
      <w:r>
        <w:rPr>
          <w:rFonts w:ascii="Calibri" w:hAnsi="Calibri"/>
          <w:b/>
          <w:color w:val="4A6B25"/>
          <w:sz w:val="15"/>
        </w:rPr>
        <w:t xml:space="preserve">8. </w:t>
      </w:r>
      <w:r>
        <w:rPr>
          <w:rFonts w:ascii="Calibri" w:hAnsi="Calibri"/>
          <w:b w:val="0"/>
          <w:color w:val="3A4A28"/>
          <w:sz w:val="17"/>
        </w:rPr>
        <w:t>NeoGenomics 2032 Convertible Notes priced at 35% premium, StockTitan, June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