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NG</w:t>
      </w:r>
      <w:r>
        <w:rPr>
          <w:rFonts w:ascii="Calibri" w:hAnsi="Calibri"/>
          <w:b/>
          <w:color w:val="1A2010"/>
          <w:sz w:val="40"/>
        </w:rPr>
        <w:t xml:space="preserve">  NovaGold Resources Inc.</w:t>
      </w:r>
    </w:p>
    <w:p>
      <w:pPr>
        <w:spacing w:after="120"/>
      </w:pPr>
      <w:r>
        <w:rPr>
          <w:rFonts w:ascii="Calibri" w:hAnsi="Calibri"/>
          <w:b/>
          <w:color w:val="6E8450"/>
          <w:sz w:val="18"/>
        </w:rPr>
        <w:t>GROWTH SLEEVE · 2026-08-30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NovaGold Resources Inc. is a well-financed precious metals development company focused on the advancement of its 50%-owned Donlin Gold project in Alaska, one of the largest, highest-grade known open-pit gold deposits in the world with approximately 39 million ounces of gold in measured and indicated resources. The project is a 50/50 joint venture with Barrick Gold Corporation. NovaGold is a pre-revenue, pre-production company. In February 2026, the company completed a $310.2M private placement at $10.00/share, bringing cash and term deposits to $370.2M as of May 31, 2026. The Bankable Feasibility Study is advancing with Fluor and other engineering partners. Founded in 1984, headquartered in Vancouver, British Columbia.</w:t>
      </w:r>
    </w:p>
    <w:p>
      <w:r>
        <w:rPr>
          <w:rFonts w:ascii="Calibri" w:hAnsi="Calibri"/>
          <w:b/>
          <w:color w:val="6E8450"/>
          <w:sz w:val="18"/>
        </w:rPr>
        <w:t>20 Employees · https://www.novagold.com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NovaGold has been advancing the Donlin Gold project for over two decades without reaching production. While the Bankable Feasibility Study is advancing with Fluor and other engineering partners in 2026, the company has not launched new products, entered new markets, or executed a business model transformation [1]. The company remains a single-asset, pre-production entity focused on the same project since acquisition. AI Deployment (0/2): No AI-powered products or internal AI-driven savings have been reported. As a 20-person holding company managing a JV interest, AI deployment is not applicable. Market Share (0/2): Not applicable — NovaGold is a pre-production company with no revenue and no market share in gold production. Product Pipeline (1/2): The Donlin Gold project represents a massive long-term pipeline with 39 million ounces of gold resources, and the company is advancing a Bankable Feasibility Study with Fluor and engineering partners to 'build America's largest gold mine' [1][2]. However, the project has been in development for decades with no firm production timeline. R&amp;D Intensity (0/1): Donlin Gold spending of $16.3M in Q2 and $31.9M in H1 2026 represents standard pre-feasibility investment for a major gold project, not above-industry R&amp;D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NovaGold's purpose centers on responsible development of the Donlin Gold project in partnership with Alaska Native Corporation landowners, creating lasting economic and social benefits for the Yukon-Kuskokwim region [2]. The mission identifies a clear stakeholder commitment beyond shareholder returns — partnership with indigenous communities — but is ultimately about developing a single mine, not a transformative vision of a better future. Community Impact (1/2): NovaGold collaborates with Alaska Native Corporation landowners (Calista Corporation and TKC) and invests in the Yukon-Kuskokwim region through the Donlin Gold project. The 2025 Sustainability Report, aligned with TCFD, TNFD and GRI standards, highlights community engagement, environmental responsibility, and partnership with indigenous communities [2]. Employee Retention (1/2): CEO Greg Lang's 14.5-year tenure since January 2012 provides exceptional leadership stability, rare in the mining exploration sector [3]. His prior experience as President of Barrick Gold North America brings deep operational credibility. The small, long-tenured leadership team suggests a mission-aligned culture. Insider Buying (1/2): Multiple insider purchases in 2026, including board directors buying shares in the open market and CEO Lang acquiring shares through the ESPP [3]. The February 2026 private placement at $10.00/share also attracted institutional support, raising $310.2M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due to NovaGold's pre-revenue status. The company's standout strength is its pristine balance sheet with $370.2M in cash and term deposits against minimal debt, yielding a near-zero D/E ratio well below the 70% target [1]. However, as a pre-production development company, NovaGold has no revenue, no profit margin, and generates consistent net losses — Q2 2026 net loss of $25.5M, narrower than the $54.3M loss a year earlier [1]. ROE is deeply negative, reflecting cash-burn required to advance Donlin Gold. Revenue growth, forward P/E, and PEG metrics are not applicable and are excluded from calculation. Infrastructure score is based solely on D/E (strong at floor-to-target max) and ROE (at zero floor), with all other metrics excluded as unavailable. Liquidity floor cleared: approximately 640K avg volume x $9.50 = $6.1M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NovaGold exhibits moderate infinite game qualities through its extraordinary patience — advancing the Donlin Gold project methodically over two decades without rushing to production or cutting corners on community engagement. CEO Greg Lang's 14.5-year tenure provides the leadership continuity that Sinek values. However, the company's single-asset focus creates rigidity, and the Just Cause (building a gold mine) is ultimately a business objective rather than a transcendent purpose. The partnership with Alaska Native communities elevates the mission beyond pure extraction but doesn't reach the level of a Just Cause that inspires sacrifice.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NovaGold's purpose of building America's largest gold mine in genuine partnership with Alaska Native communities has been pursued consistently for over 20 years through multiple gold price cycles, management changes, and industry downturns [2]. The commitment to responsible development that creates lasting benefits for the Yukon-Kuskokwim region transcends pure profit-seeking — the company has chosen to advance slowly and methodically rather than pursue production at any cost. Strategic decisions consistently trace back to this dual purpose of responsible mining and community partnership. However, gold mining is ultimately a business objective, not a vision of a better future that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NovaGold's small size (~20 corporate employees) and CEO Lang's 14.5-year tenure suggest organizational stability and trust [3]. The long-tenured leadership team has worked together through multiple gold price cycles without disruptive turnover. The company's partnership model with Barrick Gold (which manages Donlin's operations) requires significant inter-organizational trust. However, the company is too small for meaningful culture assessment, and public employee review data is limited.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NovaGold's 50/50 joint venture with Barrick Gold — one of the world's largest gold miners — is itself an acknowledgment of a worthy rival's operational capabilities [1]. Rather than attempting to develop Donlin Gold independently, NovaGold partnered with Barrick specifically because of Barrick's superior mine-building and operational expertise. CEO Lang's prior role as President of Barrick Gold North America demonstrates leadership that understands and respects the capabilities of major mining peers. The company focuses on advancing Donlin responsibly rather than 'beating' other gold developers.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NovaGold is definitionally rigid — it is a single-asset company whose entire existence centers on the Donlin Gold project. There is no evidence of strategic pivots, business model transformations, or willingness to abandon the current path in service of a higher purpose. If Donlin Gold fails, the company has no Plan B. While the patience to develop one project over 20+ years demonstrates conviction, it also represents the absence of the existential flexibility that Sinek values — the company has never faced and navigated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Lang has led NovaGold for 14+ years through volatile gold markets without capitulating to short-term pressure to rush Donlin Gold to production or sell the asset [3]. The company raised $310.2M in a February 2026 private placement, demonstrating willingness to invest for the very long term while spending $16.3M per quarter on Donlin advancement with zero revenue [1]. This patience-over-pressure approach reflects genuine long-term conviction. However, with $370M in cash and no alternative use for the capital, the 'courage' is partially enabled by a comfortable financial position rather than true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NovaGold offers leveraged exposure to one of the world's premier undeveloped gold assets — the Donlin Gold project in Alaska containing approximately 39 million ounces of measured and indicated gold resources, making it potentially America's largest gold mine [1]. The Bankable Feasibility Study is advancing with Fluor and engineering partners, with the company progressing 'up the value chain' on key workstreams in H1 2026 [1]. With $370.2M in cash following the February 2026 private placement, near-zero debt, and a 50/50 JV structure with Barrick Gold providing operational expertise, NovaGold is well-funded to advance Donlin through the next development milestones. CEO Greg Lang's 14.5-year tenure and multiple insider purchases in 2026 signal management conviction [3]. The Q2 2026 net loss of $25.5M was significantly narrower than the $54.3M loss in the prior-year period, reflecting improved capital discipline [1]. Analyst consensus is Buy with a $12.15 price target [4].</w:t>
      </w:r>
    </w:p>
    <w:p>
      <w:pPr>
        <w:spacing w:after="120"/>
      </w:pPr>
      <w:r>
        <w:rPr>
          <w:rFonts w:ascii="Calibri" w:hAnsi="Calibri"/>
          <w:b w:val="0"/>
          <w:color w:val="3A4A28"/>
          <w:sz w:val="20"/>
        </w:rPr>
        <w:t>The fundamental bear case is that NovaGold has been a 'story stock' for over two decades — promising the world's next great gold mine while generating zero revenue and burning approximately $80M annually [1]. Despite 39 million ounces of gold in the ground, there is no firm production timeline, no completed feasibility study, and the remote Alaskan location presents extraordinary infrastructure challenges (roads, power generation, environmental permitting in sensitive wilderness). Federal litigation challenging the Donlin Gold Joint Record of Decision resulted in a 2024 court decision that upheld federal agencies' analysis on two of three issues but sided with plaintiffs on concerns about analyzing tailings storage facility releases — introducing additional permitting uncertainty [2]. At approximately $9.50/share with a market cap exceeding $4B, investors are paying a substantial premium for an asset with decades of remaining development risk. The Inspire Impact Score of 0 (MIXED) reflects limited data coverage for this pre-revenue mining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Donlin Gold Bankable Feasibility Study with Fluor, confirming economic viability at current gold prices — a transformative milestone for the 20+ year development effort [1]</w:t>
      </w:r>
    </w:p>
    <w:p>
      <w:pPr>
        <w:spacing w:before="40" w:after="40"/>
        <w:ind w:left="283"/>
      </w:pPr>
      <w:r>
        <w:rPr>
          <w:rFonts w:ascii="Calibri" w:hAnsi="Calibri"/>
          <w:b/>
          <w:color w:val="4A6B25"/>
          <w:sz w:val="20"/>
        </w:rPr>
        <w:t xml:space="preserve">2. </w:t>
      </w:r>
      <w:r>
        <w:rPr>
          <w:rFonts w:ascii="Calibri" w:hAnsi="Calibri"/>
          <w:b w:val="0"/>
          <w:color w:val="3A4A28"/>
          <w:sz w:val="20"/>
        </w:rPr>
        <w:t>Sustained gold prices above $2,000/oz providing favorable economics for Donlin Gold's eventual production decision and potentially attracting additional JV or strategic partners</w:t>
      </w:r>
    </w:p>
    <w:p>
      <w:pPr>
        <w:spacing w:before="40" w:after="40"/>
        <w:ind w:left="283"/>
      </w:pPr>
      <w:r>
        <w:rPr>
          <w:rFonts w:ascii="Calibri" w:hAnsi="Calibri"/>
          <w:b/>
          <w:color w:val="4A6B25"/>
          <w:sz w:val="20"/>
        </w:rPr>
        <w:t xml:space="preserve">3. </w:t>
      </w:r>
      <w:r>
        <w:rPr>
          <w:rFonts w:ascii="Calibri" w:hAnsi="Calibri"/>
          <w:b w:val="0"/>
          <w:color w:val="3A4A28"/>
          <w:sz w:val="20"/>
        </w:rPr>
        <w:t>Federal and state permitting progress for Donlin Gold infrastructure, including resolution of the tailings storage facility litigation concern, reducing the largest remaining development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revenue generation for 20+ years with no firm production timeline — the Bankable Feasibility Study is advancing but production remains years or decades away with significant execution risk [1]</w:t>
      </w:r>
    </w:p>
    <w:p>
      <w:pPr>
        <w:spacing w:before="40" w:after="40"/>
        <w:ind w:left="283"/>
      </w:pPr>
      <w:r>
        <w:rPr>
          <w:rFonts w:ascii="Calibri" w:hAnsi="Calibri"/>
          <w:b/>
          <w:color w:val="4A6B25"/>
          <w:sz w:val="20"/>
        </w:rPr>
        <w:t xml:space="preserve">2. </w:t>
      </w:r>
      <w:r>
        <w:rPr>
          <w:rFonts w:ascii="Calibri" w:hAnsi="Calibri"/>
          <w:b w:val="0"/>
          <w:color w:val="3A4A28"/>
          <w:sz w:val="20"/>
        </w:rPr>
        <w:t>Remote Alaskan location requires massive infrastructure investment in environmentally sensitive terrain, and court ruling on tailings storage facility analysis introduces additional permitting uncertainty [2]</w:t>
      </w:r>
    </w:p>
    <w:p>
      <w:pPr>
        <w:spacing w:before="40" w:after="40"/>
        <w:ind w:left="283"/>
      </w:pPr>
      <w:r>
        <w:rPr>
          <w:rFonts w:ascii="Calibri" w:hAnsi="Calibri"/>
          <w:b/>
          <w:color w:val="4A6B25"/>
          <w:sz w:val="20"/>
        </w:rPr>
        <w:t xml:space="preserve">3. </w:t>
      </w:r>
      <w:r>
        <w:rPr>
          <w:rFonts w:ascii="Calibri" w:hAnsi="Calibri"/>
          <w:b w:val="0"/>
          <w:color w:val="3A4A28"/>
          <w:sz w:val="20"/>
        </w:rPr>
        <w:t>Cash burn of approximately $80M annually against $370M in reserves creates potential dilution risk if the company needs additional capital raises before achieving production milestones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fundamentally a physical-world operation that AI structurally cannot displace. Extracting gold from the earth requires heavy machinery, geological expertise, environmental compliance, indigenous community partnerships, and decades-long permitting processes that exist entirely outside AI's capability to substitute [1]. The Donlin Gold project in remote southwestern Alaska involves physical infrastructure in challenging terrain — roads, power generation, processing facilities — that no AI system can replicate. Gold serves as a store of value and inflation hedge whose demand is driven by macroeconomic forces, central bank policy, and investor sentiment — factors unrelated to AI disruption. The massive energy demands of AI data centers may indirectly increase demand for commodities and physical infrastructure. AI Opportunity (0/1): No AI-generated revenue. NovaGold is a pre-production mining company with no commercial operations and no AI product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NovaGold Q2 FY2026 Results — Net Loss $25.5M (vs $54.3M prior year), Cash $370.2M, $310.2M Private Placement at $10/share, Donlin Spending $16.3M Q2 / $31.9M H1, Bankable Feasibility Study with Fluor, August 2026</w:t>
      </w:r>
    </w:p>
    <w:p>
      <w:pPr>
        <w:spacing w:before="20" w:after="20"/>
        <w:ind w:left="170"/>
      </w:pPr>
      <w:r>
        <w:rPr>
          <w:rFonts w:ascii="Calibri" w:hAnsi="Calibri"/>
          <w:b/>
          <w:color w:val="4A6B25"/>
          <w:sz w:val="15"/>
        </w:rPr>
        <w:t xml:space="preserve">2. </w:t>
      </w:r>
      <w:r>
        <w:rPr>
          <w:rFonts w:ascii="Calibri" w:hAnsi="Calibri"/>
          <w:b w:val="0"/>
          <w:color w:val="3A4A28"/>
          <w:sz w:val="17"/>
        </w:rPr>
        <w:t>NovaGold 2025 Sustainability Report — Environmental Responsibility, Indigenous Community Partnership (Calista/TKC), TCFD/TNFD/GRI Aligned, Federal Litigation Update on Tailings Analysis, May 2026</w:t>
      </w:r>
    </w:p>
    <w:p>
      <w:pPr>
        <w:spacing w:before="20" w:after="20"/>
        <w:ind w:left="170"/>
      </w:pPr>
      <w:r>
        <w:rPr>
          <w:rFonts w:ascii="Calibri" w:hAnsi="Calibri"/>
          <w:b/>
          <w:color w:val="4A6B25"/>
          <w:sz w:val="15"/>
        </w:rPr>
        <w:t xml:space="preserve">3. </w:t>
      </w:r>
      <w:r>
        <w:rPr>
          <w:rFonts w:ascii="Calibri" w:hAnsi="Calibri"/>
          <w:b w:val="0"/>
          <w:color w:val="3A4A28"/>
          <w:sz w:val="17"/>
        </w:rPr>
        <w:t>NovaGold Management — CEO Greg Lang (14.5-year tenure), Board Insider Purchases 2026, novagold.com</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 NG Key Statistics: Market Cap CA$5.70B, 438.78M Shares, Stock Price ~$9.50 USD, Analyst Target $12.15, Avg Volume 640K,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