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NKE</w:t>
      </w:r>
      <w:r>
        <w:rPr>
          <w:rFonts w:ascii="Calibri" w:hAnsi="Calibri"/>
          <w:b/>
          <w:color w:val="1A2010"/>
          <w:sz w:val="40"/>
        </w:rPr>
        <w:t xml:space="preserve">  NIKE, Inc.</w:t>
      </w:r>
    </w:p>
    <w:p>
      <w:pPr>
        <w:spacing w:after="120"/>
      </w:pPr>
      <w:r>
        <w:rPr>
          <w:rFonts w:ascii="Calibri" w:hAnsi="Calibri"/>
          <w:b/>
          <w:color w:val="6E8450"/>
          <w:sz w:val="18"/>
        </w:rPr>
        <w:t>DIVIDEND SLEEVE · 2026-10-08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Footwear &amp; Accessories · NYSE · United States</w:t>
      </w:r>
    </w:p>
    <w:p>
      <w:pPr>
        <w:spacing w:after="80"/>
      </w:pPr>
      <w:r>
        <w:rPr>
          <w:rFonts w:ascii="Calibri" w:hAnsi="Calibri"/>
          <w:b w:val="0"/>
          <w:color w:val="3A4A28"/>
          <w:sz w:val="20"/>
        </w:rPr>
        <w:t>Nike designs, markets, and distributes athletic footwear, apparel, equipment, and accessories globally under the Nike and Jordan brands. CEO Elliott Hill, who returned to Nike in October 2024 after 32 years at the company, is executing a 'Win Now' turnaround plan that reverses the prior Direct-to-Consumer-first strategy and rebuilds wholesale partnerships with Foot Locker, department stores, and other retailers. FY2026 (ended May 2026) revenue was roughly flat at $46.4B (+0.2%) after a 9.8% decline in FY2025, with Q4 FY2026 revenue of $11.0B down 1% reported (-4% currency-neutral) and full-year diluted EPS of $2.10 including a $0.52 benefit from IEEPA tariff recovery [1]. Wholesale grew 4% in Q4 while NIKE Direct declined 7%, reflecting the ongoing channel rebalancing.</w:t>
      </w:r>
    </w:p>
    <w:p>
      <w:r>
        <w:rPr>
          <w:rFonts w:ascii="Calibri" w:hAnsi="Calibri"/>
          <w:b/>
          <w:color w:val="6E8450"/>
          <w:sz w:val="18"/>
        </w:rPr>
        <w:t>73,000 Employees · https://www.nike.com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Elliott Hill's reversal of the failed Direct-to-Consumer-first strategy back toward wholesale distribution is a significant strategic pivot that opened a path to restored revenue with wholesale sales up 8% in Q2 FY2026, but it is a course-correction from a prior misstep rather than a transformative reinvention [1]. AI Deployment (1/2): Nike has announced AI-driven inventory and demand-planning analytics and is integrating generative design tools into product development, but these are described as in-progress capability builds rather than shipping products with quantified savings [2]. Market Share (1/2): Nike remains the largest global athletic brand by revenue but has been ceding share to Hoka, On, Adidas, and New Balance, and China sales fell 12%, indicating a meaningful-but-eroding position rather than category leadership. Product Pipeline (1/2): New franchise activity (Nike x Skims partnership, ongoing running and basketball silhouette refreshes) exists but no next-generation products were found with specific named launch dates and quantified revenue visibility. R&amp;D Intensity (0/1): Nike does not disclose R&amp;D spend at a level indicating above-industry-average intensity; apparel/footwear R&amp;D as a share of revenue is structurally low relative to tech or pharma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Nike's mission — 'to bring inspiration and innovation to every athlete* in the world (*if you have a body, you are an athlete)' — is specific, thoughtful, and has genuinely shaped brand strategy and marketing for decades, differentiating Nike from pure commodity apparel peers. Community Impact (1/2): Nike operates the Nike Community Impact Fund and N7 Fund supporting Indigenous communities, along with Move to Zero sustainability commitments, but these read as standard corporate philanthropy rather than distinctive, dollar-quantified programs in the available research. Employee Retention (0/2): The December 2025 leadership reshuffle — eliminating two C-suite roles, consolidating commercial operations under the CFO, and creating an expansive COO role — signals organizational disruption rather than stability, and no retention/tenure data was found [3]. Insider Buying (0/2): No evidence of meaningful net insider buying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(Dividend weighting, 12 weight units). ROE of 21.56% and D/E of 73.1% both clear their respective targets/near-targets (scores 1.0 and 0.99), and Forward P/E of 20.20x scores 0.995 against the 60x floor [4]. Revenue growth is the weak spot: Q4 FY2026 revenue declined 4.3% YoY (currency-neutral) to $11.0B, and the 5-year revenue CAGR is only ~0.8% (FY2021 $44.5B to FY2026 $46.4B), reflecting the DTC-strategy stumble and China weakness [1][4]. Profit margin of 6.74% is well below the 20% target (score 0.34), compressed by tariffs, discounting, and inventory cleanup — Q4 gross margin of 49.2% included a one-time $986M tariff recovery benefit; excluding it, gross margin was 40.2% [1]. On dividend metrics, Nike's 39 consecutive years of payments (2x weight) and 23 consecutive years of increases with a 9.8% 5-year dividend CAGR (2x weight) score at the 1.0 cap, though the 78.85% payout ratio is elevated at the 40% target given depressed earnings (score 0.35). The weighted sum of 9.58/12 rounds to an Infrastructure score of 8. Liquidity is not a concern: ~30.7M shares/day at $34.36 is over $1.06B in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Nike's founding-era purpose around athlete inspiration remains genuine but has been visibly subordinated to quarter-to-quarter performance pressure over the past several years — the failed DTC-first pivot, subsequent reversal, and a second major leadership reorganization in just over a year all point to a company reacting to results rather than steering by a consistent cause. Elliott Hill's 'Win Now' framing and willingness to accept near-term margin pain for brand reinvestment show some courage, but competitive language centered on 'winning' and ongoing organizational churn are more finite-game than infinite-game signals.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'inspiration and innovation for every athlete' purpose is distinctive and has genuinely shaped Nike's marketing and product identity for decades, but the DTC-first strategic detour that damaged wholesale relationships and required a full reversal under Hill shows the cause was not consistently honored through the last leadership cycle.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December 2025 restructuring eliminated two C-suite roles and consolidated functions under an expanded COO mandate, following the earlier Donahoe-to-Hill CEO transition — this pattern of repeated top-level reorganization within roughly a year signals instability rather than psychological safety, and no data on retention or employee sentiment supporting high trust was found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Coverage of Hill's strategy uses 'Win Now' framing focused on regaining share from Hoka, On, and Adidas rather than language oriented toward mutual improvement, consistent with a finite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Reversing the DTC-first strategy back toward wholesale distribution is a real strategic adaptation with near-term cost, but it is a correction of a recent strategic error rather than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Guiding to 'flattish' earnings through the first two quarters of FY2027 and accepting further gross margin contraction to fund brand and product reinvestment is a real short-term sacrifice, but it follows from correcting a self-inflicted DTC misstep rather than a proactive long-term bet made from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Nike at $34.36 trades at 20.20x forward earnings and 1.47 PEG, down 51% from its 52-week high of $70.44, as the market prices in an uncertain turnaround under CEO Elliott Hill [1]. Full-year FY2026 revenue stabilized at $46.4B after the prior year's 9.8% decline, with wholesale recovering to +4% in Q4 while NIKE Direct declined 7% as the company deliberately rebalances channels [1]. Nike's balance sheet remains a source of strength (ROE 21.56%, D/E 73.1%) and the dividend — 39 consecutive years paid, 23 consecutive years of increases, 9.8% 5-year dividend CAGR, now yielding 4.77% — offers meaningful income support while the operational recovery plays out. The brand's global scale and physical product IP remain largely insulated from AI substitution risk.</w:t>
      </w:r>
    </w:p>
    <w:p>
      <w:pPr>
        <w:spacing w:after="120"/>
      </w:pPr>
      <w:r>
        <w:rPr>
          <w:rFonts w:ascii="Calibri" w:hAnsi="Calibri"/>
          <w:b w:val="0"/>
          <w:color w:val="3A4A28"/>
          <w:sz w:val="20"/>
        </w:rPr>
        <w:t>The bear case is that this is a company correcting its own strategic mistakes under repeated reorganization rather than a clean growth story: profit margin of just 6.74% and a 5-year revenue CAGR near zero reflect years of DTC missteps, tariff pressure, and China weakness [1][3]. Q4 FY2026 gross margin of 49.2% was inflated by a one-time $986M tariff recovery benefit — the underlying gross margin of 40.2% was flat to down, and management expects revenue to decline by low to mid-single digits near term with Q2 FY2027 sequentially weaker [1]. The 78.85% payout ratio leaves little dividend growth cushion if earnings stay depressed, and diluted EPS of $2.10 in FY2026 would have been just $1.58 excluding the tariff benefit. Persistent supply-chain labor controversies create ongoing reputational overhang, and the December 2025 C-suite reorganization — the second major leadership shake-up in just over a year — raises execution risk during a critical reinvestment phase [3][5]. The Inspire Impact Score of -67 (MISALIGNED), driven by abortion and LGBT activism attributions, will exclude Nike from many faith-based portfolios regardless of financial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Wholesale channel rebuild showing early traction with Q4 FY2026 wholesale revenue up 4% to $6.6B, validating the reversal of the failed Direct-to-Consumer-first strategy under CEO Elliott Hill as retailer relationships are restored [1]</w:t>
      </w:r>
    </w:p>
    <w:p>
      <w:pPr>
        <w:spacing w:before="40" w:after="40"/>
        <w:ind w:left="283"/>
      </w:pPr>
      <w:r>
        <w:rPr>
          <w:rFonts w:ascii="Calibri" w:hAnsi="Calibri"/>
          <w:b/>
          <w:color w:val="4A6B25"/>
          <w:sz w:val="20"/>
        </w:rPr>
        <w:t xml:space="preserve">2. </w:t>
      </w:r>
      <w:r>
        <w:rPr>
          <w:rFonts w:ascii="Calibri" w:hAnsi="Calibri"/>
          <w:b w:val="0"/>
          <w:color w:val="3A4A28"/>
          <w:sz w:val="20"/>
        </w:rPr>
        <w:t>Deep valuation discount at 20.20x forward earnings and 4.77% dividend yield, down 51% from 52-week highs — management expects gross margin expansion to begin in Q1 FY2027 as tariff headwinds normalize and brand investment pays off [1][2]</w:t>
      </w:r>
    </w:p>
    <w:p>
      <w:pPr>
        <w:spacing w:before="40" w:after="40"/>
        <w:ind w:left="283"/>
      </w:pPr>
      <w:r>
        <w:rPr>
          <w:rFonts w:ascii="Calibri" w:hAnsi="Calibri"/>
          <w:b/>
          <w:color w:val="4A6B25"/>
          <w:sz w:val="20"/>
        </w:rPr>
        <w:t xml:space="preserve">3. </w:t>
      </w:r>
      <w:r>
        <w:rPr>
          <w:rFonts w:ascii="Calibri" w:hAnsi="Calibri"/>
          <w:b w:val="0"/>
          <w:color w:val="3A4A28"/>
          <w:sz w:val="20"/>
        </w:rPr>
        <w:t>Stabilization or recovery in Greater China as a swing factor — even flat performance would materially improve consolidated revenue growth, and AI-driven demand planning and generative design tools (Nike A.I.R.) could accelerate product innovation cycles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expected to decline by low to mid-single digits near term with Q2 FY2027 sequentially weaker, and underlying FY2026 EPS was only $1.58 excluding the one-time $986M tariff recovery benefit, masking ongoing margin pressure [1]</w:t>
      </w:r>
    </w:p>
    <w:p>
      <w:pPr>
        <w:spacing w:before="40" w:after="40"/>
        <w:ind w:left="283"/>
      </w:pPr>
      <w:r>
        <w:rPr>
          <w:rFonts w:ascii="Calibri" w:hAnsi="Calibri"/>
          <w:b/>
          <w:color w:val="4A6B25"/>
          <w:sz w:val="20"/>
        </w:rPr>
        <w:t xml:space="preserve">2. </w:t>
      </w:r>
      <w:r>
        <w:rPr>
          <w:rFonts w:ascii="Calibri" w:hAnsi="Calibri"/>
          <w:b w:val="0"/>
          <w:color w:val="3A4A28"/>
          <w:sz w:val="20"/>
        </w:rPr>
        <w:t>Supply chain labor controversies (Uzbek cotton sourcing, unpaid wage claims exceeding $9.3M in a sample of factories, investor criticism of Nike's 'silence' on worker rights) create reputational and regulatory risk [5]</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from a second major leadership reorganization in just over a year (December 2025 C-suite consolidation) and ongoing departure of innovation and AI leadership could disrupt execution of the turnaround plan at a critical juncture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Nike's core business — physical footwear and apparel tied to brand equity, athlete endorsements, and design IP — is structurally difficult for AI to substitute; no analyst coverage found flags Nike's revenue as directly threatened by AI tools [2]. AI is being adopted internally as an enabler (demand forecasting, generative design assistance, inventory normalization targeted for Q2 2026) rather than a threat, though counterfeit/AI-generated design replication and AI-personalized DTC competitors from smaller brands are a modest emerging pressure. AI Opportunity (0/1): No quantified AI-attributable revenue or cost savings were disclosed; AI initiatives remain described in forward-looking, exploratory terms rather than with specific dollar figures.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NIKE, Inc. Fiscal 2026 Second Quarter and Full Year Results — Investor Relations, revenue $46.4B (+0.2% FY26), North America +9%, wholesale +8%, China -12%, January-June 2026</w:t>
      </w:r>
    </w:p>
    <w:p>
      <w:pPr>
        <w:spacing w:before="20" w:after="20"/>
        <w:ind w:left="170"/>
      </w:pPr>
      <w:r>
        <w:rPr>
          <w:rFonts w:ascii="Calibri" w:hAnsi="Calibri"/>
          <w:b/>
          <w:color w:val="4A6B25"/>
          <w:sz w:val="15"/>
        </w:rPr>
        <w:t xml:space="preserve">2. </w:t>
      </w:r>
      <w:r>
        <w:rPr>
          <w:rFonts w:ascii="Calibri" w:hAnsi="Calibri"/>
          <w:b w:val="0"/>
          <w:color w:val="3A4A28"/>
          <w:sz w:val="17"/>
        </w:rPr>
        <w:t>Nike AI/Technology Integration and Inventory Normalization — FinancialContent, Athletech News, Peter Fisk coverage of Elliott Hill's 'Win Now' turnaround, October 2025-June 2026</w:t>
      </w:r>
    </w:p>
    <w:p>
      <w:pPr>
        <w:spacing w:before="20" w:after="20"/>
        <w:ind w:left="170"/>
      </w:pPr>
      <w:r>
        <w:rPr>
          <w:rFonts w:ascii="Calibri" w:hAnsi="Calibri"/>
          <w:b/>
          <w:color w:val="4A6B25"/>
          <w:sz w:val="15"/>
        </w:rPr>
        <w:t xml:space="preserve">3. </w:t>
      </w:r>
      <w:r>
        <w:rPr>
          <w:rFonts w:ascii="Calibri" w:hAnsi="Calibri"/>
          <w:b w:val="0"/>
          <w:color w:val="3A4A28"/>
          <w:sz w:val="17"/>
        </w:rPr>
        <w:t>Nike Leadership Reorganization — C-suite consolidation, COO role creation, regional president elevation — FinancialContent, Athletech News, Packed House Sports, December 2025</w:t>
      </w:r>
    </w:p>
    <w:p>
      <w:pPr>
        <w:spacing w:before="20" w:after="20"/>
        <w:ind w:left="170"/>
      </w:pPr>
      <w:r>
        <w:rPr>
          <w:rFonts w:ascii="Calibri" w:hAnsi="Calibri"/>
          <w:b/>
          <w:color w:val="4A6B25"/>
          <w:sz w:val="15"/>
        </w:rPr>
        <w:t xml:space="preserve">4. </w:t>
      </w:r>
      <w:r>
        <w:rPr>
          <w:rFonts w:ascii="Calibri" w:hAnsi="Calibri"/>
          <w:b w:val="0"/>
          <w:color w:val="3A4A28"/>
          <w:sz w:val="17"/>
        </w:rPr>
        <w:t>stockanalysis.com — NKE Statistics &amp; Valuation: Forward PE 23.77, PEG 1.80, ROE 22.14%, D/E 0.74, Profit Margin 6.70%, Dividend Yield 4.03%, Payout Ratio 78.10%,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Nike ESG/Supply Chain Labor Coverage — HR Grapevine, Just-Style, Retail Dive, Simply Wall St News: Uzbek cotton sourcing, wage theft claims, investor ESG criticism, July 2025-2026</w:t>
      </w:r>
    </w:p>
    <w:p>
      <w:pPr>
        <w:spacing w:before="20" w:after="20"/>
        <w:ind w:left="170"/>
      </w:pPr>
      <w:r>
        <w:rPr>
          <w:rFonts w:ascii="Calibri" w:hAnsi="Calibri"/>
          <w:b/>
          <w:color w:val="4A6B25"/>
          <w:sz w:val="15"/>
        </w:rPr>
        <w:t xml:space="preserve">6. </w:t>
      </w:r>
      <w:r>
        <w:rPr>
          <w:rFonts w:ascii="Calibri" w:hAnsi="Calibri"/>
          <w:b w:val="0"/>
          <w:color w:val="3A4A28"/>
          <w:sz w:val="17"/>
        </w:rPr>
        <w:t>Macrotrends/Bullfincher/WallStreetZen — Nike annual revenue history FY2020-FY2026, GuruFocus/FinanceCharts — 5-year dividend CAGR and consecutive dividend increase years,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