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NOG</w:t>
      </w:r>
      <w:r>
        <w:rPr>
          <w:rFonts w:ascii="Calibri" w:hAnsi="Calibri"/>
          <w:b/>
          <w:color w:val="1A2010"/>
          <w:sz w:val="40"/>
        </w:rPr>
        <w:t xml:space="preserve">  Northern Oil and Gas, Inc.</w:t>
      </w:r>
    </w:p>
    <w:p>
      <w:pPr>
        <w:spacing w:after="120"/>
      </w:pPr>
      <w:r>
        <w:rPr>
          <w:rFonts w:ascii="Calibri" w:hAnsi="Calibri"/>
          <w:b/>
          <w:color w:val="6E8450"/>
          <w:sz w:val="18"/>
        </w:rPr>
        <w:t>GROWTH SLEEVE · 2026-09-08 · Inspire: 38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NYSE · United States</w:t>
      </w:r>
    </w:p>
    <w:p>
      <w:pPr>
        <w:spacing w:after="80"/>
      </w:pPr>
      <w:r>
        <w:rPr>
          <w:rFonts w:ascii="Calibri" w:hAnsi="Calibri"/>
          <w:b w:val="0"/>
          <w:color w:val="3A4A28"/>
          <w:sz w:val="20"/>
        </w:rPr>
        <w:t>Northern Oil and Gas is the largest publicly traded non-operating working interest company in the United States, with diversified exposure across the Williston Basin (Bakken/Three Forks), Permian Basin, Uinta Basin, and Appalachian Basin. The company acquires minority working interests in oil and gas wells operated by major E&amp;P companies, generating revenue through production without operating wells directly. NOG reported Q2 2026 revenue of $745M (+17% YoY) with adjusted EPS of $1.13 beating estimates, and guides to $1.4-1.5B adjusted EBITDA and $375-500M+ free cash flow for FY2026 [1]. Market cap is approximately $2.75B.</w:t>
      </w:r>
    </w:p>
    <w:p>
      <w:r>
        <w:rPr>
          <w:rFonts w:ascii="Calibri" w:hAnsi="Calibri"/>
          <w:b/>
          <w:color w:val="6E8450"/>
          <w:sz w:val="18"/>
        </w:rPr>
        <w:t>100 Employees · https://www.northernoil.com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NOG has executed a transformative multi-basin expansion over the past five years, evolving from a Williston Basin-focused non-operator into a diversified four-basin platform spanning the Permian, Uinta, and Appalachian basins through both the 'Ground Game' bolt-on acquisition strategy (hundreds of small deals) and larger transactions [1]. Revenue scaled from approximately $600M in 2021 to $2B+, a fundamental scaling of the business model. AI Deployment (0/2): No evidence of AI-powered products or quantified AI-driven operational improvements. As a lean non-operator with approximately 100 employees, NOG lacks the operational footprint for significant AI deployment. Market Share (1/2): NOG is the largest publicly traded non-operating working interest company in the U.S., a unique and differentiated market position within E&amp;P [2]. However, the non-operator segment is a niche within a commodity industry, and NOG's position is defined by scale rather than category leadership. Product Pipeline (0/2): NOG's growth pipeline is acquisition-driven rather than product-driven, with no specific next-generation products or named launches. R&amp;D Intensity (0/1): Non-operators do not conduct R&amp;D; the company invests in acquisitions and capital allocation rather than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NOG's website and public materials do not feature an explicit mission, purpose, or vision statement [2]. The company's implicit purpose — to be the premier non-operating working interest company creating value through disciplined capital allocation — is generic and interchangeable with any financial-vehicle E&amp;P company. Leadership communications center on returns, dividends, and buybacks rather than a broader purpose. Community &amp; Charitable Impact (1/2): NOG published its 2025 ESG Report with an independent cybersecurity assessment, detailed climate risk analysis, and reported surpassing carbon offset commitments for the reporting period [3]. While this demonstrates some environmental stewardship, these are standard corporate ESG practices rather than distinctive community investment programs. Employee Retention (0/2): No specific turnover, tenure, or retention data publicly available. The leadership team has been stable (O'Grady since 2020, Dirlam since 2009, Allen since 2013, Romslo since 2011), but quantified workforce retention metrics are not disclosed [2]. Insider Buying (0/2): No evidence of meaningful net insider buying by executives in the last 12 months. The company repurchased 2.95M shares at $20.37 average in Q2, but this is corporate buyback activity, not personal insider purchases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NOG's deep value profile is evident in its 5.99x forward P/E, well below the 20x target and scoring maximum [4]. The estimated 5-year revenue CAGR of approximately 20%, driven by aggressive multi-basin acquisitions, also scores maximum on the 10% target. The debt-to-equity ratio of 137% is elevated but scores 0.71 on the 70-300% interpolation scale. However, TTM GAAP metrics are severely distorted by non-cash impairment charges: ROE of -22.05% and net profit margin of -24.15% both score 0, despite the underlying business generating Q2 2026 net income of $237M (31.7% margin) and $159M free cash flow [1]. TTM revenue growth of -3.9% reflects weak earlier quarters during the commodity price downturn, though Q2 showed 17% YoY growth. Forward PEG is unavailable due to negative trailing earnings and excluded from the calculation. Easily clears the liquidity floor with daily trading value of approximately $58M.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NOG operates as a disciplined financial vehicle in Sinek's framework — the company exists to acquire working interests, optimize capital allocation, and maximize shareholder returns through dividends and buybacks. There is no articulated Just Cause beyond value creation. CEO O'Grady has demonstrated tactical courage in countercyclical acquisitions and share repurchases during the commodity downturn, and the small stable leadership team (key executives with 7-17 year tenures) provides organizational continuity. However, the competitive positioning centers on being the 'largest' non-operator rather than continuous self-improvement, and the business model has evolved incrementally rather than transformatively.</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NOG does not articulate a purpose beyond creating shareholder value through disciplined capital allocation. Management communications focus on production volumes, free cash flow targets ($375-500M+ FY2026), dividend payments ($1.80/share), and share repurchases [1]. The company's identity is its financial model — buying working interests at attractive returns — rather than a vision of a future state that does not yet exist. In Sinek's framework, this is a finite player optimizing for returns, not playing to advance a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NOG maintains a small, stable leadership team with notable tenure: President Adam Dirlam joined in 2009, CLO Erik Romslo in 2011, CFO Chad Allen in 2013, and CTO James Evans in 2015, all promoted internally to their current roles [2]. This long tenure and internal promotion pattern suggests a healthy organizational culture where people stay and advance. The lean structure of approximately 100 employees enables close working relationships. However, there is no specific evidence of exceptional psychological safety, employee empowerment practices, or cultural initiatives beyond typical small-company dynamics.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NOG's competitive positioning centers on being the 'largest publicly traded non-operating working interest company,' a size-based framing that emphasizes dominance over self-improvement [2]. Management discusses competitive advantages in terms of scale, diversification, and access to deal flow rather than learning from competitors' strengths. Earnings call commentary focuses on NOG's outperformance relative to commodity benchmarks and operational metrics rather than acknowledging worthy rivals whose strengths drive improvement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NOG has meaningfully evolved its portfolio over the past five years, expanding from a Williston Basin-only non-operator into a diversified four-basin platform spanning the Permian, Uinta, and Appalachian basins [1]. The entry into natural gas (Appalachia) and unconventional tight oil (Uinta) represents strategic adaptation to changing energy market dynamics. However, the core business model — acquiring and holding non-operated working interests — has remained fundamentally unchanged. The basin expansion was incremental portfolio diversification, not a transformative reinvention of the company.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O'Grady has demonstrated willingness to act countercyclically. During the 2025-2026 commodity price downturn driven by tariff uncertainty and Waha pricing weakness, NOG repurchased 2.95M shares at $20.37 average (3% of outstanding), increased the buyback authorization to $243M, and maintained the $1.80/share annual dividend despite negative GAAP earnings [1]. The decision to enter the Uinta and Appalachian basins expanded the company's risk profile beyond its Williston comfort zone. However, these are tactical capital allocation decisions rather than the pattern of costly long-term bets that would earn a full score.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NOG at 5.99x forward earnings and 4.52x EV/EBITDA offers compelling deep value in a differentiated E&amp;P model. Q2 2026 demonstrated the operating leverage: revenue of $745M (+17% YoY), adjusted EPS of $1.13 (beating the $1.03 estimate by 10%), free cash flow of $159M (up 400%+ from Q1), and 17% sequential EBITDA growth driven by diversification across Williston, Uinta, and Appalachian basins offsetting Permian curtailments [1]. Management guides to $1.4-1.5B adjusted EBITDA and $375-500M+ free cash flow for FY2026 at current strip pricing, supporting the 6.94% dividend yield ($1.80/share) and aggressive buyback program (2.95M shares repurchased in Q2 at $20.37) [1]. The multi-basin model reduces single-basin risk, with natural gas volumes reaching record levels (+35% YoY) positioning NOG for the growing power demand narrative from AI data centers and LNG exports.</w:t>
      </w:r>
    </w:p>
    <w:p>
      <w:pPr>
        <w:spacing w:after="120"/>
      </w:pPr>
      <w:r>
        <w:rPr>
          <w:rFonts w:ascii="Calibri" w:hAnsi="Calibri"/>
          <w:b w:val="0"/>
          <w:color w:val="3A4A28"/>
          <w:sz w:val="20"/>
        </w:rPr>
        <w:t>The bear case centers on commodity exposure, leverage, and the limitations of the non-operator model. TTM GAAP net income is -$486M, reflecting significant impairment charges that highlight NOG's vulnerability to oil price volatility — the entire business is a leveraged bet on commodity prices with no pricing power or differentiated product [4]. The debt-to-equity ratio of 137% and enterprise value of $4.6B against $2.75B market cap signal substantial leverage that amplifies downside in a sustained commodity price decline. As a non-operator, NOG has zero control over drilling pace, well performance, completion timing, or operating costs — the Permian curtailments in Q2 due to Waha pricing economics illustrate this dependency risk [1]. Revenue growth has turned negative on a TTM basis (-3.9%) despite the strong Q2, and the 4-year dividend track record provides less income stability than established dividend aristocrats. If OPEC+ increases supply or global demand weakens further, NOG's thin equity cushion and operator dependency could force dividend cuts.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Free cash flow guidance of $375-500M+ for FY2026 at current strip pricing, with H2 implied oil production of ~74,000 bbl/day average supporting continued dividend payments and share repurchases that compress the already-low 5.99x forward P/E [1]</w:t>
      </w:r>
    </w:p>
    <w:p>
      <w:pPr>
        <w:spacing w:before="40" w:after="40"/>
        <w:ind w:left="283"/>
      </w:pPr>
      <w:r>
        <w:rPr>
          <w:rFonts w:ascii="Calibri" w:hAnsi="Calibri"/>
          <w:b/>
          <w:color w:val="4A6B25"/>
          <w:sz w:val="20"/>
        </w:rPr>
        <w:t xml:space="preserve">2. </w:t>
      </w:r>
      <w:r>
        <w:rPr>
          <w:rFonts w:ascii="Calibri" w:hAnsi="Calibri"/>
          <w:b w:val="0"/>
          <w:color w:val="3A4A28"/>
          <w:sz w:val="20"/>
        </w:rPr>
        <w:t>Record natural gas volumes (+35% YoY) and multi-basin diversification positioning NOG for the structural power demand growth narrative from AI data centers, LNG exports, and electrification, with gas realizations at 123% of Henry Hub with hedges [1]</w:t>
      </w:r>
    </w:p>
    <w:p>
      <w:pPr>
        <w:spacing w:before="40" w:after="40"/>
        <w:ind w:left="283"/>
      </w:pPr>
      <w:r>
        <w:rPr>
          <w:rFonts w:ascii="Calibri" w:hAnsi="Calibri"/>
          <w:b/>
          <w:color w:val="4A6B25"/>
          <w:sz w:val="20"/>
        </w:rPr>
        <w:t xml:space="preserve">3. </w:t>
      </w:r>
      <w:r>
        <w:rPr>
          <w:rFonts w:ascii="Calibri" w:hAnsi="Calibri"/>
          <w:b w:val="0"/>
          <w:color w:val="3A4A28"/>
          <w:sz w:val="20"/>
        </w:rPr>
        <w:t>Ground Game acquisition pipeline continuing to source accretive working interests at attractive valuations during commodity price dislocation, with $45M deployed in Q2 2026 ground game acquisitions and over $1B in liquidity to fund further deals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Commodity price sensitivity with 100% of revenue directly tied to oil and gas prices — a sustained decline below management's strip pricing assumptions would compress FCF below the $375M low end of guidance and pressure the 6.94% dividend yield that is not yet backed by 5+ years of payment history [1]</w:t>
      </w:r>
    </w:p>
    <w:p>
      <w:pPr>
        <w:spacing w:before="40" w:after="40"/>
        <w:ind w:left="283"/>
      </w:pPr>
      <w:r>
        <w:rPr>
          <w:rFonts w:ascii="Calibri" w:hAnsi="Calibri"/>
          <w:b/>
          <w:color w:val="4A6B25"/>
          <w:sz w:val="20"/>
        </w:rPr>
        <w:t xml:space="preserve">2. </w:t>
      </w:r>
      <w:r>
        <w:rPr>
          <w:rFonts w:ascii="Calibri" w:hAnsi="Calibri"/>
          <w:b w:val="0"/>
          <w:color w:val="3A4A28"/>
          <w:sz w:val="20"/>
        </w:rPr>
        <w:t>Non-operator model dependency means NOG has zero control over drilling pace, well performance, or operating costs — operator decisions to curtail Permian activity due to Waha pricing economics directly reduced Q2 Permian production, and similar operator decisions across basins could compound [1]</w:t>
      </w:r>
    </w:p>
    <w:p>
      <w:pPr>
        <w:spacing w:before="40" w:after="40"/>
        <w:ind w:left="283"/>
      </w:pPr>
      <w:r>
        <w:rPr>
          <w:rFonts w:ascii="Calibri" w:hAnsi="Calibri"/>
          <w:b/>
          <w:color w:val="4A6B25"/>
          <w:sz w:val="20"/>
        </w:rPr>
        <w:t xml:space="preserve">3. </w:t>
      </w:r>
      <w:r>
        <w:rPr>
          <w:rFonts w:ascii="Calibri" w:hAnsi="Calibri"/>
          <w:b w:val="0"/>
          <w:color w:val="3A4A28"/>
          <w:sz w:val="20"/>
        </w:rPr>
        <w:t>Elevated leverage with debt-to-equity of 137% and net debt of approximately $2.7B creates equity dilution or dividend cut risk if commodity prices deteriorate for an extended period, as evidenced by the -$486M TTM GAAP net loss driven by impairment charges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NOG's core business — owning non-operated working interests in physical oil and gas wells — is structurally immune to AI disruption. Oil and gas extraction is a physical-world activity involving drilling, completion, and production that AI cannot displace [1]. AI-driven demand for data center power is a net positive for energy demand, with natural gas volumes at NOG reaching record levels (up 35% YoY) partly driven by power generation needs. The non-operator model adds an additional layer of insulation: NOG's value proposition is capital allocation and mineral rights ownership, not technology or services that AI could replicate. The only exposure is indirect — operators could potentially use AI to optimize drilling decisions in ways that reduce need for non-operating capital, but this risk is theoretical and not flagged by analysts. AI Opportunity (0/1): NOG does not generate revenue from AI-related products or services. The company is a pure-play oil and gas working interest owner with no AI product line or quantified AI revenue contribution.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Northern Oil and Gas Q2 2026 Earnings Release — Revenue $745.2M (+17% YoY), Adjusted EPS $1.13 (+9.7% beat), FCF $159M, Adjusted EBITDA Guidance $1.4-1.5B, Share Repurchases 2.95M at $20.37, August 2026</w:t>
      </w:r>
    </w:p>
    <w:p>
      <w:pPr>
        <w:spacing w:before="20" w:after="20"/>
        <w:ind w:left="170"/>
      </w:pPr>
      <w:r>
        <w:rPr>
          <w:rFonts w:ascii="Calibri" w:hAnsi="Calibri"/>
          <w:b/>
          <w:color w:val="4A6B25"/>
          <w:sz w:val="15"/>
        </w:rPr>
        <w:t xml:space="preserve">2. </w:t>
      </w:r>
      <w:r>
        <w:rPr>
          <w:rFonts w:ascii="Calibri" w:hAnsi="Calibri"/>
          <w:b w:val="0"/>
          <w:color w:val="3A4A28"/>
          <w:sz w:val="17"/>
        </w:rPr>
        <w:t>NOG Leadership Team — CEO Nicholas O'Grady (since Jan 2020), President Adam Dirlam (since 2009), CFO Chad Allen (since 2013), CLO Erik Romslo (since 2011), CTO James Evans (since 2015), northernoil.com,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Northern Oil and Gas 2025 ESG Report — Carbon offset commitments surpassed, independent cybersecurity assessment, climate risk analysis, published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NOG Key Statistics: Forward P/E 5.99x, D/E 137%, ROE -22.05%, Profit Margin -24.15%, EV/EBITDA 4.52x, Dividend Yield 6.94%, Stock Price $25.92,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