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NPT</w:t>
      </w:r>
      <w:r>
        <w:rPr>
          <w:rFonts w:ascii="Calibri" w:hAnsi="Calibri"/>
          <w:b/>
          <w:color w:val="1A2010"/>
          <w:sz w:val="40"/>
        </w:rPr>
        <w:t xml:space="preserve">  Texxon Holding Limited</w:t>
      </w:r>
    </w:p>
    <w:p>
      <w:pPr>
        <w:spacing w:after="120"/>
      </w:pPr>
      <w:r>
        <w:rPr>
          <w:rFonts w:ascii="Calibri" w:hAnsi="Calibri"/>
          <w:b/>
          <w:color w:val="6E8450"/>
          <w:sz w:val="18"/>
        </w:rPr>
        <w:t>GROWTH SLEEVE · 2026-10-02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Chemicals · NCM · China</w:t>
      </w:r>
    </w:p>
    <w:p>
      <w:pPr>
        <w:spacing w:after="80"/>
      </w:pPr>
      <w:r>
        <w:rPr>
          <w:rFonts w:ascii="Calibri" w:hAnsi="Calibri"/>
          <w:b w:val="0"/>
          <w:color w:val="3A4A28"/>
          <w:sz w:val="20"/>
        </w:rPr>
        <w:t>Texxon Holding Limited operates a supply chain management business in China through two segments: Supply Chain Trading (basic chemicals including alcohols and aromatic raw materials) and Plastic Manufacturing (polystyrene production). H1 FY2026 revenue fell 35.8% to $327M driven by a 64.1% collapse in basic chemical sales, swinging to a $1.0M net loss from $2.3M net income in the prior-year period [1][2].</w:t>
      </w:r>
    </w:p>
    <w:p>
      <w:r>
        <w:rPr>
          <w:rFonts w:ascii="Calibri" w:hAnsi="Calibri"/>
          <w:b/>
          <w:color w:val="6E8450"/>
          <w:sz w:val="18"/>
        </w:rPr>
        <w:t>203 Employees · https://www.npt-cn.com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Texxon expanded from pure chemical supply chain trading into plastic manufacturing with the commissioning of a new 600,000-ton annual capacity polystyrene factory in Henan province, which commenced production in early June 2026 — this represents a meaningful vertical integration move but is an incremental extension rather than a transformative pivot [4]. AI Deployment (0/2): No evidence of AI deployment, machine learning initiatives, or digital transformation strategy in any public filings or corporate communications. Market Share (0/2): Texxon is a commodity participant in China's vast chemical distribution market with no differentiated market position, pricing power, or share leadership — the company's basic chemical sales collapsed 64.1% in H1 FY2026 due to 'lower market demand,' indicating no competitive moat [1]. Product Pipeline (1/2): The new Henan polystyrene factory provides some manufacturing capability pipeline, having completed safety and regulatory milestones in January 2026, but no additional product lines or expansion plans have been announced [4]. R&amp;D Intensity (0/1): No evidence of R&amp;D spending, innovation programs, or technology development in public filings; the company operates a trading and commodity manufacturing business.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No distinctive mission, vision, or purpose statement was found on the company's website or SEC filings beyond standard corporate descriptions of its chemical trading and plastics manufacturing operations [3]. The company presents itself as a supply chain services provider without articulating why it exists beyond commercial activity. Community Impact (0/2): No evidence of charitable giving, community programs, or philanthropic initiatives in any public filings or press releases. Employee Retention (0/2): No publicly available data on employee culture, turnover, or satisfaction; with only 203 employees in China, no Glassdoor or comparable ratings exist. Insider Buying (0/2): CEO Hui Xu and family control approximately 73% of shares through founder ownership, but no evidence of recent open-market insider purchases was found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47,898 shares multiplied by stock price of $2.57 equals daily dollar volume of approximately $123,000, which is below the $1,000,000 threshold required by IOWN screening rules [1]. Infrastructure is automatically scored 0 regardless of other metrics. For reference, the underlying metrics are weak: D/E of 116.7% (score 0.80), ROE of -10.3% (score 0.0), revenue growth YoY of -35.8% (score 0.0, below the -20% floor), and profit margin of -0.5% (score 0.0) [1][2]. Forward P/E and PEG ratio are unavailable. The company holds only $397K in cash against $64.3M in total debt, creating significant financial vulnerability.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Texxon Holding operates as a commodity chemical trading company with no articulated purpose beyond commercial operations, no evidence of organizational trust-building practices, and no track record of strategic flexibility beyond a single vertical integration into plastics manufacturing. The company is controlled by founder-CEO Hui Xu and family (73% ownership) with minimal governance transparency typical of small Chinese companies listed on U.S. exchanges. Sinek would identify this as a purely finite player focused on near-term commercial transactions rather than building an enduring institution.</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evidence of a Just Cause, purpose statement, or articulated vision beyond commercial chemical trading and plastics manufacturing [3]. The company's public communications and SEC filings present it as existing to buy, sell, and manufacture commodity chemicals — there is no narrative about a future state the company aspires to create, no mission that would inspire employees or stakeholders beyond financial returns. This is a finite player by definition.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data available on employee culture, satisfaction, turnover, or organizational trust at Texxon [3]. With 203 employees, all based in China except one board member, and no Glassdoor reviews or comparable ratings, there is no basis to assess the Circle of Safety. The concentrated family ownership (73%) and all-China leadership team provide stability but raise governance questions about independent voice and employee empowerment.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how Texxon frames competition or engages with rivals. The company operates in a fragmented commodity market in China with thousands of chemical distributors, and no public statements address competitive dynamics, learning from rivals, or competitive positioning beyond basic market participation [3].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Texxon expanded from pure chemical supply chain trading into polystyrene manufacturing with the Henan factory (600,000-ton capacity, commenced June 2026), representing forward vertical integration that diversifies the business model from pure trading to production [4]. This shows some strategic adaptation, though driven more by margin capture than by a higher purpose. Plastic particle revenue surged 88.5% in FY2025 to $272M, partially validating the strategic shift [2].</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Texxon invested in the 600,000-ton polystyrene factory and pursued a U.S. IPO on Nasdaq, both representing meaningful risk-taking for a small Chinese chemical company with $797M revenue [2][4]. The IPO required navigating complex regulatory requirements for Chinese companies listing in the U.S., and the factory investment committed capital during a volatile commodity market. However, these decisions appear driven by commercial opportunism rather than principled long-term vision.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Texxon Holding at $2.57 with a $57M market cap is a micro-cap Chinese chemical trading and plastics manufacturing company that grew revenue 18.5% to $797M in FY2025, driven by an 88.5% surge in plastic particle sales to $272M as the new Henan polystyrene factory expanded production capacity [2][4]. The company completed key safety and regulatory milestones for the 600,000-ton polystyrene factory in January 2026, providing vertical integration from pure commodity trading into manufacturing with better potential margins. The stock trades at extremely low multiples relative to revenue, reflecting the deep discount applied to small Chinese companies listed on U.S. exchanges.</w:t>
      </w:r>
    </w:p>
    <w:p>
      <w:pPr>
        <w:spacing w:after="120"/>
      </w:pPr>
      <w:r>
        <w:rPr>
          <w:rFonts w:ascii="Calibri" w:hAnsi="Calibri"/>
          <w:b w:val="0"/>
          <w:color w:val="3A4A28"/>
          <w:sz w:val="20"/>
        </w:rPr>
        <w:t>The bear case dominates: H1 FY2026 revenue collapsed 35.8% to $327M as basic chemical sales cratered 64.1% due to weak Chinese industrial demand, swinging to a $1.0M net loss from $2.3M profit [1]. The company holds only $397K in cash against $64.3M in total debt, creating severe liquidity risk for a company with negative operating cash flow. Daily dollar volume of only $123K fails the IOWN liquidity floor, making the stock essentially untradeable for any institutional investor. ROE of -10.3%, profit margin of -0.5%, and D/E of 116.7% all indicate financial distress. Governance risk is elevated with concentrated family ownership (73%), all-China leadership, and limited transparency typical of small Chinese companies on U.S. exchanges. The stock trades 20% below its 50-day SMA of $3.21, reflecting market skepticism about the business trajectory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Henan polystyrene factory reaching full capacity — the 600,000-ton annual production facility commenced operations in June 2026 and could improve margins by capturing manufacturing value versus pure commodity trading [4]</w:t>
      </w:r>
    </w:p>
    <w:p>
      <w:pPr>
        <w:spacing w:before="40" w:after="40"/>
        <w:ind w:left="283"/>
      </w:pPr>
      <w:r>
        <w:rPr>
          <w:rFonts w:ascii="Calibri" w:hAnsi="Calibri"/>
          <w:b/>
          <w:color w:val="4A6B25"/>
          <w:sz w:val="20"/>
        </w:rPr>
        <w:t xml:space="preserve">2. </w:t>
      </w:r>
      <w:r>
        <w:rPr>
          <w:rFonts w:ascii="Calibri" w:hAnsi="Calibri"/>
          <w:b w:val="0"/>
          <w:color w:val="3A4A28"/>
          <w:sz w:val="20"/>
        </w:rPr>
        <w:t>Recovery in Chinese industrial demand — a cyclical rebound in downstream demand for aromatic chemicals and plastics could reverse the 64.1% decline in basic chemical sales that drove the H1 FY2026 revenue collapse [1]</w:t>
      </w:r>
    </w:p>
    <w:p>
      <w:pPr>
        <w:spacing w:before="40" w:after="40"/>
        <w:ind w:left="283"/>
      </w:pPr>
      <w:r>
        <w:rPr>
          <w:rFonts w:ascii="Calibri" w:hAnsi="Calibri"/>
          <w:b/>
          <w:color w:val="4A6B25"/>
          <w:sz w:val="20"/>
        </w:rPr>
        <w:t xml:space="preserve">3. </w:t>
      </w:r>
      <w:r>
        <w:rPr>
          <w:rFonts w:ascii="Calibri" w:hAnsi="Calibri"/>
          <w:b w:val="0"/>
          <w:color w:val="3A4A28"/>
          <w:sz w:val="20"/>
        </w:rPr>
        <w:t>Vertical integration margin benefits — shifting revenue mix toward manufactured plastic particles (which grew 88.5% in FY2025) and away from lower-margin chemical trading could structurally improve profitability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Severe liquidity risk — only $397K in cash against $64.3M in total debt, with negative operating cash flow and a net loss in H1 FY2026, creating going-concern risk if Chinese industrial demand does not recover [1][3]</w:t>
      </w:r>
    </w:p>
    <w:p>
      <w:pPr>
        <w:spacing w:before="40" w:after="40"/>
        <w:ind w:left="283"/>
      </w:pPr>
      <w:r>
        <w:rPr>
          <w:rFonts w:ascii="Calibri" w:hAnsi="Calibri"/>
          <w:b/>
          <w:color w:val="4A6B25"/>
          <w:sz w:val="20"/>
        </w:rPr>
        <w:t xml:space="preserve">2. </w:t>
      </w:r>
      <w:r>
        <w:rPr>
          <w:rFonts w:ascii="Calibri" w:hAnsi="Calibri"/>
          <w:b w:val="0"/>
          <w:color w:val="3A4A28"/>
          <w:sz w:val="20"/>
        </w:rPr>
        <w:t>Chinese regulatory and delisting risk — as a China-based company with VIE structure listed on Nasdaq, Texxon faces ongoing PCAOB audit inspection requirements, potential Holding Foreign Companies Accountable Act delisting risk, and PRC regulatory uncertainty [3]</w:t>
      </w:r>
    </w:p>
    <w:p>
      <w:pPr>
        <w:spacing w:before="40" w:after="40"/>
        <w:ind w:left="283"/>
      </w:pPr>
      <w:r>
        <w:rPr>
          <w:rFonts w:ascii="Calibri" w:hAnsi="Calibri"/>
          <w:b/>
          <w:color w:val="4A6B25"/>
          <w:sz w:val="20"/>
        </w:rPr>
        <w:t xml:space="preserve">3. </w:t>
      </w:r>
      <w:r>
        <w:rPr>
          <w:rFonts w:ascii="Calibri" w:hAnsi="Calibri"/>
          <w:b w:val="0"/>
          <w:color w:val="3A4A28"/>
          <w:sz w:val="20"/>
        </w:rPr>
        <w:t>Commodity demand collapse — basic chemical revenue fell 64.1% in H1 FY2026 due to weak demand for aromatic raw materials, and the company has no pricing power or competitive moat to protect against further cyclical deterioration in China's industrial economy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Texxon's core business — physical supply chain trading of bulk chemicals and polystyrene manufacturing — involves tangible commodity logistics, warehousing, and industrial production that AI cannot substitute [1][3]. Chemical distribution requires physical infrastructure, regulatory compliance with PRC environmental and safety laws, and customer relationships built on reliable delivery of bulk materials. The polystyrene factory represents hard physical assets with production know-how. However, AI could optimize competitor logistics and pricing, and the trading/brokerage component of the business is more vulnerable to algorithmic disruption than the manufacturing side. AI Opportunity (0/1): No evidence of AI-related revenue, AI-enhanced products, or AI-driven operational improvements. The company has no AI strategy or deployment.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Texxon Holding H1 FY2026 Results — $327M Revenue (-35.8%), $1.0M Net Loss, Basic Chemical Sales -64.1% — PR Newswire, Nasdaq Press Release, 2026</w:t>
      </w:r>
    </w:p>
    <w:p>
      <w:pPr>
        <w:spacing w:before="20" w:after="20"/>
        <w:ind w:left="170"/>
      </w:pPr>
      <w:r>
        <w:rPr>
          <w:rFonts w:ascii="Calibri" w:hAnsi="Calibri"/>
          <w:b/>
          <w:color w:val="4A6B25"/>
          <w:sz w:val="15"/>
        </w:rPr>
        <w:t xml:space="preserve">2. </w:t>
      </w:r>
      <w:r>
        <w:rPr>
          <w:rFonts w:ascii="Calibri" w:hAnsi="Calibri"/>
          <w:b w:val="0"/>
          <w:color w:val="3A4A28"/>
          <w:sz w:val="17"/>
        </w:rPr>
        <w:t>Texxon Holding FY2025 Results — $797M Revenue (+18.5%), Plastic Particle Sales +88.5% to $272M — Finviz, PR Newswire, 2025</w:t>
      </w:r>
    </w:p>
    <w:p>
      <w:pPr>
        <w:spacing w:before="20" w:after="20"/>
        <w:ind w:left="170"/>
      </w:pPr>
      <w:r>
        <w:rPr>
          <w:rFonts w:ascii="Calibri" w:hAnsi="Calibri"/>
          <w:b/>
          <w:color w:val="4A6B25"/>
          <w:sz w:val="15"/>
        </w:rPr>
        <w:t xml:space="preserve">3. </w:t>
      </w:r>
      <w:r>
        <w:rPr>
          <w:rFonts w:ascii="Calibri" w:hAnsi="Calibri"/>
          <w:b w:val="0"/>
          <w:color w:val="3A4A28"/>
          <w:sz w:val="17"/>
        </w:rPr>
        <w:t>Texxon Holding SEC Form 20-F FY2025 — Corporate Governance, CEO Hui Xu, 73% Family Ownership, Environmental Risk Disclosures — SEC EDGAR, 2025</w:t>
      </w:r>
    </w:p>
    <w:p>
      <w:pPr>
        <w:spacing w:before="20" w:after="20"/>
        <w:ind w:left="170"/>
      </w:pPr>
      <w:r>
        <w:rPr>
          <w:rFonts w:ascii="Calibri" w:hAnsi="Calibri"/>
          <w:b/>
          <w:color w:val="4A6B25"/>
          <w:sz w:val="15"/>
        </w:rPr>
        <w:t xml:space="preserve">4. </w:t>
      </w:r>
      <w:r>
        <w:rPr>
          <w:rFonts w:ascii="Calibri" w:hAnsi="Calibri"/>
          <w:b w:val="0"/>
          <w:color w:val="3A4A28"/>
          <w:sz w:val="17"/>
        </w:rPr>
        <w:t>Texxon Holding 600,000-Ton Polystyrene Factory — Safety and Regulatory Milestones Completed, Production Commenced June 2026 — GlobeNewswire, January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