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NTHI</w:t>
      </w:r>
      <w:r>
        <w:rPr>
          <w:rFonts w:ascii="Calibri" w:hAnsi="Calibri"/>
          <w:b/>
          <w:color w:val="1A2010"/>
          <w:sz w:val="40"/>
        </w:rPr>
        <w:t xml:space="preserve">  NeOnc Technologies Holdings,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2026-10-06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36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Healthcare · Biotechnology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Clinical-stage biopharmaceutical company developing molecular technologies for targeted delivery of therapeutics to treat CNS malignancies such as glioma, glioblastoma and meningioma.</w:t>
      </w:r>
    </w:p>
    <w:p>
      <w:r>
        <w:rPr>
          <w:rFonts w:ascii="Calibri" w:hAnsi="Calibri"/>
          <w:b/>
          <w:color w:val="6E8450"/>
          <w:sz w:val="18"/>
        </w:rPr>
        <w:t>https://neonc.com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1: clinical programs advanced but no commercial launches; only $39,990 of right-to-try revenue [1]. AI 0: none evident. Market share 0: pre-revenue. Pipeline 1: named CNS cancer programs with clinical milestones but uncertain timelines [2]. R&amp;D 1: spending is essentially all R&amp;D, above peers.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2: clear aim of treating CNS cancers with targeted delivery [2]. No evidence found for community programs, retention, or insider buying; scored 0.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Liquidity floor triggered: about 185,189 shares x $2.92 is roughly $0.54M daily, below $1M, so Infrastructure is 0. Revenue is $0, net loss was $14.2M in Q2 2026, and ROE and margin are unavailable or non-positive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Pre-revenue biotech with a genuine patient-focused cause, but dependent on repeated capital raising with a concentrated leadership structure.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Treating intracranial malignancies is a genuine and distinctive cause, but untested through multi-year execution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cultural red flags or retention data found; adequate by default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evidence of rival-learning language; competitive framing is not evident.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Too early-stage to have faced a pivot test.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Continuing heavy R&amp;D spend despite losses ($14.2M Q2 net loss) is courageous but also necessity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NeOnc targets glioblastoma and other CNS cancers with novel delivery technologies, and any positive clinical readout could drive large re-rating from an $84M market cap [1][2]. Molecular technology IP gives optionality.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No revenue, a Q2 2026 net loss of $14.24M (vs $5.68M a year earlier) and EPS of -$0.58 imply continued dilution [1]. The stock is below its 50-day average ($2.92 vs $3.86), illiquidity breaches the IOWN floor, and the CEO is also Executive Chairman and President, concentrating governance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Clinical trial readouts in glioma and glioblastoma programs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Regulatory designations or partnerships validating the delivery platform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Non-dilutive financing extending runway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Clinical failure of lead programs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Continued equity dilution with widening losses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Illiquidity and concentrated governance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Drug development is regulated and physical-world, with clinical data and FDA approval as moats that AI cannot substitute; AI may accelerate rivals' discovery but not displace trials [2]. No AI revenue, so the tiebreaker is 0.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NeOnc Technologies Q2 2026 10-Q summary, TradingView,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NeOnc Technologies leadership and company profile, neonc.com,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NeOnc Q1 2026 Financial Results press release, GlobeNewswire,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via yfinance, NTHI key statistics,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