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NTST</w:t>
      </w:r>
      <w:r>
        <w:rPr>
          <w:rFonts w:ascii="Calibri" w:hAnsi="Calibri"/>
          <w:b/>
          <w:color w:val="1A2010"/>
          <w:sz w:val="40"/>
        </w:rPr>
        <w:t xml:space="preserve">  NETSTREIT Corp.</w:t>
      </w:r>
    </w:p>
    <w:p>
      <w:pPr>
        <w:spacing w:after="120"/>
      </w:pPr>
      <w:r>
        <w:rPr>
          <w:rFonts w:ascii="Calibri" w:hAnsi="Calibri"/>
          <w:b/>
          <w:color w:val="6E8450"/>
          <w:sz w:val="18"/>
        </w:rPr>
        <w:t>DIVIDEND SLEEVE · 2026-09-20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(Net Lease) · NYSE · United States</w:t>
      </w:r>
    </w:p>
    <w:p>
      <w:pPr>
        <w:spacing w:after="80"/>
      </w:pPr>
      <w:r>
        <w:rPr>
          <w:rFonts w:ascii="Calibri" w:hAnsi="Calibri"/>
          <w:b w:val="0"/>
          <w:color w:val="3A4A28"/>
          <w:sz w:val="20"/>
        </w:rPr>
        <w:t>NETSTREIT is an internally managed REIT based in Dallas, Texas that acquires single-tenant net lease retail properties nationwide. The portfolio focuses on e-commerce resistant tenants with healthy balance sheets, including grocery, convenience stores, quick-service restaurants, and auto service retailers. IPO'd in August 2020, the company has grown to 864 properties with 100% occupancy (excluding developments) and over $3B in gross assets. Q2 2026 revenue reached $61.3M (+26.9% YoY) with 135 properties added year-to-date. Raised 2026 AFFO guidance to $1.37-$1.39/share.</w:t>
      </w:r>
    </w:p>
    <w:p>
      <w:r>
        <w:rPr>
          <w:rFonts w:ascii="Calibri" w:hAnsi="Calibri"/>
          <w:b/>
          <w:color w:val="6E8450"/>
          <w:sz w:val="18"/>
        </w:rPr>
        <w:t>29 Employees · https://www.netstreit.com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NETSTREIT has scaled rapidly since its August 2020 IPO to 864 properties with 100% occupancy, closing a record $298.9M of investments in Q2 2026 at a blended 7.4% cash yield and adding 135 properties year-to-date [1]. H1 2026 revenue reached $118.3M, up from $94.2M YoY. This represents strong capital deployment execution, but the business model — single-tenant net lease acquisition — replicates the established playbook of Realty Income and NNN with no meaningful product innovation. AI Deployment (0/2): No AI-powered products or AI-driven operational efficiencies have been disclosed; the 29-person team has limited scope for AI deployment [2]. Market Share (1/2): NETSTREIT is a meaningful mid-cap participant in the net lease REIT sector with $3B+ in assets and 864 properties, but is dwarfed by Realty Income (~$70B) and NNN (~$13B), positioning it as fast-growing but non-dominant [4]. Product Pipeline (1/2): Raised FY2026 AFFO guidance to $1.37-$1.39/share and investment guidance to $700M-$800M, with portfolio scaled to 864 properties at 100% occupancy providing execution visibility [1]. R&amp;D Intensity (0/1): REITs do not maintain R&amp;D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NETSTREIT's focus on building 'the highest quality net lease retail portfolio generating consistent cash flows and dividends' is clear about what the company does and identifies quality as a differentiator, but does not articulate a deeper societal purpose beyond financial returns [5]. Meets the 'clear but not distinctive' threshold. Community Impact (0/2): GRESB Public Disclosure participant and LEED v4 Gold HQ certification demonstrate some sustainability commitment, but no charitable foundation, community investment programs, or philanthropic initiatives with dollar amounts were identified [5]. Employee Retention (1/2): Glassdoor reviews (4.2/5 stars) describe 'great leadership' with colleagues who 'really care and take pride in their work,' strong work-life balance, and employees feeling their opinions are heard [3]. The lean 29-person internal management structure creates workload challenges but fosters tight-knit culture. Insider Buying (0/2): Insider holdings include stock award grants, but no meaningful net open-market purchases by executives were identified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Revenue growth of 26.9% YoY and 5yr CAGR of ~25% both score at ceiling (1.0), reflecting rapid portfolio scaling from IPO [1]. D/E of 88.84% scores 0.92 — conservative for a net lease REIT at 3.2x net debt/EBITDA with no material maturities until 2028 [2]. AFFO payout ratio of ~60% scores 0.67. However, GAAP metrics penalize the young REIT: ROE of 0.96% scores 0.06, forward P/E of 44.3x scores 0.39, and profit margin of 6.35% scores 0.32 — all reflecting depreciation charges on a rapidly growing portfolio rather than operational weakness [4]. Dividend history is still short at 6 consecutive years paid (scoring 0.6 at 2x weight) and 4 years of growth (scoring 0.4). The modest 1.5% 5yr dividend growth CAGR scores 0.25 at 2x weight. Weighted sum 6.46 / max 12.0 = infrastructure 5. Liquidity cleared at ~$37M daily turnover (2.04M avg volume x $18.17)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NETSTREIT exhibits adequate but not distinctive infinite game characteristics. The company's conservative balance sheet management (3.2x leverage, no maturities until 2028), internal management structure, and focus on essential retail tenants suggest long-term thinking. The positive Glassdoor culture (4.2/5) and quality-focused competitive positioning demonstrate some infinite mindset qualities. However, the company is only 6 years old and has not been tested through a full real estate cycle, and no Just Cause beyond investor returns has been articulated.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NETSTREIT's purpose — building the highest quality net lease retail portfolio generating consistent cash flows — is functional but not transformative. It identifies what the company does well but doesn't articulate a vision of a better future beyond delivering investor returns [5]. Leadership references portfolio quality in strategic decisions, but the cause has not been tested through crisis or multi-decade consistency given the 2020 founding.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(4.2/5 stars) indicate a positive culture where leadership 'really cares' and respects work-life balance [3]. Employees report their opinions are heard, and the internal management structure aligns incentives with shareholders. The lean 29-person team necessarily requires high trust, as each individual carries significant responsibility. However, the small team creates workload pressure and key-person risk, and the company is too young to have demonstrated trust through adversity.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NETSTREIT positions itself against much larger net lease peers (Realty Income, NNN) by emphasizing portfolio quality and investment-grade tenant credit over sheer scale [1]. The company's differentiation through e-commerce resistant categories, 100% occupancy, and conservative underwriting suggests competitive awareness focused on self-improvement — finding a niche where quality beats size — rather than simply trying to outgrow larger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NETSTREIT has shown incremental strategic flexibility — adjusting acquisition targets by sector (shifting toward grocery, QSR, and auto service while reducing general retail exposure), scaling from zero to 864 properties in 6 years, and raising investment guidance by 25%+ as market conditions warrant [1]. However, the company is too young to have faced a true existential test requiring transformative reinvention, and the core business model has remained unchanged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demonstrated fiscal discipline by maintaining conservative 3.2x leverage with no material debt maturities until 2028, resisting the temptation to over-lever during the acquisition boom [1][2]. The decision to remain internally managed from inception rather than using the more common external management structure shows long-term shareholder alignment. Record Q2 2026 acquisitions of $298.9M at 7.4% yields signal offensive capital deployment. However, these are prudent financial decisions in a favorable market rather than courageous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NETSTREIT delivered a strong Q2 2026 with revenue of $61.3M (+26.9% YoY, beating $56.3M consensus) and AFFO of $0.35/share (+6.1%), driven by record investment activity of $298.9M at 7.4% blended cash yields [1]. The portfolio has scaled to 864 properties with 100% occupancy across essential retail categories (grocery, QSR, convenience stores, auto service). Raised AFFO guidance to $1.37-$1.39/share and investment guidance to $700M-$800M signal continued growth momentum. The 4.57% dividend yield at ~60% AFFO payout ratio provides current income with reinvestment capacity, and the conservative balance sheet (3.2x leverage, no maturities until 2028) positions the company to capitalize on acquisition opportunities [2]. At $18.17, the stock trades at 13.2x AFFO guidance midpoint — a discount to larger net-lease peers.</w:t>
      </w:r>
    </w:p>
    <w:p>
      <w:pPr>
        <w:spacing w:after="120"/>
      </w:pPr>
      <w:r>
        <w:rPr>
          <w:rFonts w:ascii="Calibri" w:hAnsi="Calibri"/>
          <w:b w:val="0"/>
          <w:color w:val="3A4A28"/>
          <w:sz w:val="20"/>
        </w:rPr>
        <w:t>The bear case centers on GAAP valuation distortion, limited dividend growth, and competitive disadvantage versus larger peers. Forward P/E of 44.3x and GAAP ROE of 0.96% reflect REIT depreciation mechanics rather than operational weakness, but they screen poorly for quantitative investors [4]. The 1.5% 5yr dividend growth CAGR significantly trails inflation, meaning real income erodes over time despite the attractive 4.57% current yield. NETSTREIT competes in a crowded net lease sector against much larger incumbents — Realty Income ($70B+ assets) and NNN ($13B) — with superior cost of capital, creating structural disadvantage on acquisition spreads. The stock's 15.7% decline from $21.55 to $18.17 reflects broader REIT sector pressure from elevated interest rates. Most critically, the 6-year operating history means the portfolio has not been stress-tested through a recession or major tenant default cycle, creating uncertainty about credit quality resilience, and the 29-person team creates key-person risk with no role redundancy.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investment volume of $298.9M at 7.4% yields, with raised FY2026 guidance to $700M-$800M, driving portfolio toward 900+ properties and accelerating AFFO growth [1]</w:t>
      </w:r>
    </w:p>
    <w:p>
      <w:pPr>
        <w:spacing w:before="40" w:after="40"/>
        <w:ind w:left="283"/>
      </w:pPr>
      <w:r>
        <w:rPr>
          <w:rFonts w:ascii="Calibri" w:hAnsi="Calibri"/>
          <w:b/>
          <w:color w:val="4A6B25"/>
          <w:sz w:val="20"/>
        </w:rPr>
        <w:t xml:space="preserve">2. </w:t>
      </w:r>
      <w:r>
        <w:rPr>
          <w:rFonts w:ascii="Calibri" w:hAnsi="Calibri"/>
          <w:b w:val="0"/>
          <w:color w:val="3A4A28"/>
          <w:sz w:val="20"/>
        </w:rPr>
        <w:t>100% occupancy rate (excluding developments) across 864 properties in essential retail categories validates the credit-focused underwriting approach and provides predictable cash flow [1]</w:t>
      </w:r>
    </w:p>
    <w:p>
      <w:pPr>
        <w:spacing w:before="40" w:after="40"/>
        <w:ind w:left="283"/>
      </w:pPr>
      <w:r>
        <w:rPr>
          <w:rFonts w:ascii="Calibri" w:hAnsi="Calibri"/>
          <w:b/>
          <w:color w:val="4A6B25"/>
          <w:sz w:val="20"/>
        </w:rPr>
        <w:t xml:space="preserve">3. </w:t>
      </w:r>
      <w:r>
        <w:rPr>
          <w:rFonts w:ascii="Calibri" w:hAnsi="Calibri"/>
          <w:b w:val="0"/>
          <w:color w:val="3A4A28"/>
          <w:sz w:val="20"/>
        </w:rPr>
        <w:t>Conservative 3.2x leverage with no 2026-2027 maturities positions NETSTREIT to capitalize on distressed acquisition opportunities if credit markets tighten, potentially widening acquisition cap rates above 7.4%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disadvantage versus larger net lease REITs (Realty Income, NNN) with lower cost of capital limits ability to win deals at accretive spreads as the sector consolidates and cap rates normalize [4]</w:t>
      </w:r>
    </w:p>
    <w:p>
      <w:pPr>
        <w:spacing w:before="40" w:after="40"/>
        <w:ind w:left="283"/>
      </w:pPr>
      <w:r>
        <w:rPr>
          <w:rFonts w:ascii="Calibri" w:hAnsi="Calibri"/>
          <w:b/>
          <w:color w:val="4A6B25"/>
          <w:sz w:val="20"/>
        </w:rPr>
        <w:t xml:space="preserve">2. </w:t>
      </w:r>
      <w:r>
        <w:rPr>
          <w:rFonts w:ascii="Calibri" w:hAnsi="Calibri"/>
          <w:b w:val="0"/>
          <w:color w:val="3A4A28"/>
          <w:sz w:val="20"/>
        </w:rPr>
        <w:t>Short 6-year operating history means the portfolio has not been stress-tested through a recession or major tenant default cycle, and the 29-person team creates key-person risk with limited organizational depth [3]</w:t>
      </w:r>
    </w:p>
    <w:p>
      <w:pPr>
        <w:spacing w:before="40" w:after="40"/>
        <w:ind w:left="283"/>
      </w:pPr>
      <w:r>
        <w:rPr>
          <w:rFonts w:ascii="Calibri" w:hAnsi="Calibri"/>
          <w:b/>
          <w:color w:val="4A6B25"/>
          <w:sz w:val="20"/>
        </w:rPr>
        <w:t xml:space="preserve">3. </w:t>
      </w:r>
      <w:r>
        <w:rPr>
          <w:rFonts w:ascii="Calibri" w:hAnsi="Calibri"/>
          <w:b w:val="0"/>
          <w:color w:val="3A4A28"/>
          <w:sz w:val="20"/>
        </w:rPr>
        <w:t>Modest 1.5% 5yr dividend growth CAGR significantly trails inflation, and the stock's 15.7% decline to $18.17 reflects interest rate sensitivity that could persist in a higher-for-longer rate environment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NETSTREIT's core business — owning and leasing physical retail properties to essential, e-commerce resistant tenants under long-term net leases — is structurally immune to AI disruption [1]. Three structural qualities make net-lease REITs uniquely resistant: contractual cash flows with rent escalators and structural default protections, physical real estate that AI cannot replicate, and tenant categories (grocery, QSR, convenience stores, auto service) requiring in-person visits. The 100% occupancy rate and 14+ year weighted average lease terms provide contractual insulation regardless of AI's impact on the broader economy. No analysts have identified AI as a substitution risk for net-lease REITs. AI Opportunity (0/1): NETSTREIT generates no revenue from AI products or services and has disclosed no AI-driven operational enhancements for the 29-person 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NETSTREIT Q2 2026 Earnings Release — Revenue $61.3M (+26.9% YoY), AFFO $0.35/share (+6.1%), Record Investments $298.9M at 7.4%, Raised Investment Guidance to $700M-$800M, 864 Properties, 100% Occupancy, July 2026</w:t>
      </w:r>
    </w:p>
    <w:p>
      <w:pPr>
        <w:spacing w:before="20" w:after="20"/>
        <w:ind w:left="170"/>
      </w:pPr>
      <w:r>
        <w:rPr>
          <w:rFonts w:ascii="Calibri" w:hAnsi="Calibri"/>
          <w:b/>
          <w:color w:val="4A6B25"/>
          <w:sz w:val="15"/>
        </w:rPr>
        <w:t xml:space="preserve">2. </w:t>
      </w:r>
      <w:r>
        <w:rPr>
          <w:rFonts w:ascii="Calibri" w:hAnsi="Calibri"/>
          <w:b w:val="0"/>
          <w:color w:val="3A4A28"/>
          <w:sz w:val="17"/>
        </w:rPr>
        <w:t>NETSTREIT Q2 2026 Earnings Call — Balance Sheet 3.2x leverage, No Maturities Until 2028, AFFO Guidance $1.37-$1.39/share, Strategic Commentary, July 2026</w:t>
      </w:r>
    </w:p>
    <w:p>
      <w:pPr>
        <w:spacing w:before="20" w:after="20"/>
        <w:ind w:left="170"/>
      </w:pPr>
      <w:r>
        <w:rPr>
          <w:rFonts w:ascii="Calibri" w:hAnsi="Calibri"/>
          <w:b/>
          <w:color w:val="4A6B25"/>
          <w:sz w:val="15"/>
        </w:rPr>
        <w:t xml:space="preserve">3. </w:t>
      </w:r>
      <w:r>
        <w:rPr>
          <w:rFonts w:ascii="Calibri" w:hAnsi="Calibri"/>
          <w:b w:val="0"/>
          <w:color w:val="3A4A28"/>
          <w:sz w:val="17"/>
        </w:rPr>
        <w:t>Glassdoor — NETSTREIT Employee Reviews (4.2/5 stars), 'great leadership,' work-life balance, GRESB/LEED commitments,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NTST Key Statistics: Price $18.17, Forward P/E 44.32, D/E 88.84%, ROE 0.96%, Margin 6.35%, Avg Volume 2.04M,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NETSTREIT Investor Relations — Corporate Website, Investment Strategy, ESG Commitments, netstreit.com,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