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NVCT</w:t>
      </w:r>
      <w:r>
        <w:rPr>
          <w:rFonts w:ascii="Calibri" w:hAnsi="Calibri"/>
          <w:b/>
          <w:color w:val="1A2010"/>
          <w:sz w:val="40"/>
        </w:rPr>
        <w:t xml:space="preserve">  Nuvectis Pharma, Inc.</w:t>
      </w:r>
    </w:p>
    <w:p>
      <w:pPr>
        <w:spacing w:after="120"/>
      </w:pPr>
      <w:r>
        <w:rPr>
          <w:rFonts w:ascii="Calibri" w:hAnsi="Calibri"/>
          <w:b/>
          <w:color w:val="6E8450"/>
          <w:sz w:val="18"/>
        </w:rPr>
        <w:t>GROWTH SLEEVE · 2026-09-01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Nuvectis Pharma, Inc. is a clinical-stage biopharmaceutical company focused on precision medicines for oncology and complement-related conditions. Key pipeline assets include NXP900 (c-Src/YES1 kinase inhibitor, Phase 1b for solid tumors), NXP800 (GCN2 activator, Phase 1b for ARID1a-mutated ovarian cancer), NXP100 (ciprocopan, Complement Factor B inhibitor, in-licensed from Haisco, approved in China for PNH), and NXP200 (brain-penetrant BRAF inhibitor). Cash runway extends into H1 2029 following a $115M follow-on offering in July 2026.</w:t>
      </w:r>
    </w:p>
    <w:p>
      <w:r>
        <w:rPr>
          <w:rFonts w:ascii="Calibri" w:hAnsi="Calibri"/>
          <w:b/>
          <w:color w:val="6E8450"/>
          <w:sz w:val="18"/>
        </w:rPr>
        <w:t>12 Employees · https://nuvectis.com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Nuvectis has advanced NXP900 from preclinical development to Phase 1b clinical trial with preliminary data readout expected summer 2026, and expanded its pipeline from two proprietary compounds to four through strategic in-licensing of ciprocopan (NXP100) and NXP200 from Haisco [1][3]. However, the company was founded in 2020 and has no approved products, no revenue, and no proven track record of bringing drugs to market. AI Deployment (0/2): No AI-powered products or AI-driven drug discovery tools are evident; Nuvectis employs traditional clinical development methodologies with a 12-person team [2]. Market Share (0/2): As a clinical-stage company with no approved products, Nuvectis holds no market share in any therapeutic category. The company is years away from potential commercial revenue [1]. Product Pipeline (1/2): The pipeline has visibility across four compounds — NXP900 (Phase 1b with promising combination data showing synergy with sotorasib in NSCLC models), NXP800 (Phase 1b for ovarian cancer), NXP100 (ciprocopan, already approved in China by Haisco for PNH), and NXP200 (BRAF inhibitor) — but timelines for Phase 2/3 studies and regulatory submissions have not been specified [1][3][4]. R&amp;D Intensity (1/1): Virtually all of Nuvectis's spending is R&amp;D — Q1 2026 R&amp;D expenses were $4.7M out of $6.1M total net loss, representing extreme R&amp;D intensity relative to the company's size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'Innovative precision medicine for the treatment of serious conditions of unmet medical need in oncology' is specific, thoughtful, and connects the company's work to the genuine purpose of fighting cancer through targeted therapies [2]. The focus on ARID1a-mutated ovarian cancer and sotorasib-resistant NSCLC addresses patient populations with limited treatment options, demonstrating intentional focus on unmet need rather than commercial opportunity alone. Community Impact (0/2): No charitable programs, foundation giving, or community investment was identified for this 12-person clinical-stage company. Employee Retention (0/2): With only 12 employees, meaningful retention statistics are not available or applicable. The founding team appears stable, with Chairman and CEO Ronald Bentsur leading since incorporation in 2020 [2]. Insider Buying (2/2): A major shareholder purchased $4,476,797 in stock in June 2025, representing meaningful conviction at the ownership level [5]. CEO Bentsur and co-founders hold significant equity stakes aligned with long-term value creation.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Nuvectis is a pre-revenue clinical-stage biotech where most traditional financial metrics are inapplicable. Debt-to-equity is estimated at approximately 5%, reflecting an equity-funded capital structure with minimal leverage (score 1.0) [1]. ROE is negative at approximately -22% annualized (Q1 net loss $6.1M against estimated post-raise equity of ~$130M), scoring 0.0 [1]. Revenue, profit margin, forward P/E, PEG, and growth CAGRs are all null or inapplicable for a pre-revenue company. Infrastructure is calculated on the sole available metric (D/E): weighted sum 1.0 / max 3.0 = 3.3, rounded to 3. Liquidity narrowly passes the floor at $1.0M average daily dollar volume (97,288 shares x $10.31) [6]. The $115M follow-on offering in July 2026 extends cash runway into H1 2029, providing over 2.5 years of operational funding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Nuvectis demonstrates genuine purpose through its focus on precision oncology for patients with limited treatment options, and the founding team's commitment through six years of pre-revenue development shows conviction. However, the company is too young and small to have been tested through market cycles, leadership transitions, or existential strategic decisions. The just cause is real but unproven at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Nuvectis's cause — developing precision medicines for cancer patients with unmet medical need — is genuine and connects to a purpose larger than profit [2]. The deliberate focus on ARID1a-mutated ovarian cancer and sotorasib-resistant NSCLC (populations with few treatment options) reflects intentional alignment between the science and the cause. The in-licensing of ciprocopan for PNH expanded the cause beyond oncology to complement-mediated diseases, maintaining the focus on serious unmet need. The cause is partially lived but has not been tested through multi-decade consistency (2/3 raw).</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With only 12 employees, Nuvectis operates as a tight-knit team under founding CEO Ronald Bentsur, who has led since incorporation in 2020 [2]. The small team has remained stable through six years of pre-revenue development, suggesting adequate trust and cohesion. However, the company is too small for meaningful assessment of organizational trust-building practices, empowerment programs, or cultural dynamics beyond the founding team (1/2 raw).</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Nuvectis leadership articulating a worthy rivals framework or acknowledging competitors' strengths as motivational benchmarks. The company operates in the fragmented precision oncology space against both large pharma (with Src/YES1 inhibitor programs) and other clinical-stage biotechs, but competitive language focuses on scientific differentiation rather than learning from rivals [2][4] (0/1 raw).</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Nuvectis demonstrated meaningful strategic flexibility by expanding its pipeline beyond the two original proprietary oncology compounds (NXP800, NXP900) through the in-licensing of two clinical-stage compounds from Haisco — ciprocopan (NXP100, a Complement Factor B inhibitor for PNH) and NXP200 (a BRAF inhibitor) [3][4]. This move diversified therapeutic focus beyond oncology and added a near-market asset (ciprocopan, already approved in China). For a six-year-old, 12-person company, this represents meaningful evolution, though not a transformative reinvention (1/2 raw).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Ronald Bentsur and co-founders demonstrated courage by founding Nuvectis in 2020 and pursuing novel kinase inhibitor targets (c-Src/YES1, GCN2) that were not mainstream drug development priorities, accepting years of pre-revenue development and multiple capital raises [2]. The decision to pursue sotorasib combination therapy for NXP900 targeted a specific resistance mechanism, showing scientific conviction. However, the company has not yet faced the test of choosing long-term investment over short-term results in a downturn, as it remains pre-revenue and reliant on external financing (1/2 raw).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Nuvectis offers high-risk, high-reward exposure to precision oncology with a diversified pipeline of four clinical-stage compounds targeting genuine unmet medical needs. NXP900's Phase 1b data showing synergy with sotorasib in both sensitive and resistant NSCLC models could address a significant drug resistance problem in the $5B+ KRAS-targeted therapy market, with preliminary data expected summer 2026 [1][3]. The in-licensed ciprocopan (NXP100) provides a near-market asset — already approved in China for PNH — with ex-China rights providing potential for a faster regulatory path. The $115M follow-on offering in July 2026 extends cash runway into H1 2029, removing near-term dilution risk and providing over 2.5 years of operational funding [1]. Significant insider buying ($4.48M in June 2025) signals management and major shareholder conviction [5].</w:t>
      </w:r>
    </w:p>
    <w:p>
      <w:pPr>
        <w:spacing w:after="120"/>
      </w:pPr>
      <w:r>
        <w:rPr>
          <w:rFonts w:ascii="Calibri" w:hAnsi="Calibri"/>
          <w:b w:val="0"/>
          <w:color w:val="3A4A28"/>
          <w:sz w:val="20"/>
        </w:rPr>
        <w:t>The bear case is binary risk typical of clinical-stage biotechs: all four compounds could fail in clinical trials, resulting in total loss. Nuvectis has zero revenue, generates quarterly net losses of $6-7M, and is entirely dependent on capital markets for funding beyond H1 2029 [1]. With only 12 employees and a $260M market cap, the company has limited organizational resilience if its lead programs encounter setbacks. Liquidity is extremely thin — average daily dollar volume of $1.0M barely clears the IOWN floor, meaning any significant selling pressure could create outsized price impact [6]. The ISS Governance QualityScore of 9 (with Board score of 10) suggests governance concerns that could affect decision-making as the company scales [2]. Competition from larger pharma companies with Src/YES1 inhibitor programs and AI-driven drug discovery platforms could erode Nuvectis's first-mover advantage in these targets.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NXP900 Phase 1b preliminary data readout expected summer 2026, with preclinical combination data showing synergy with sotorasib in resistant NSCLC models [1][3]</w:t>
      </w:r>
    </w:p>
    <w:p>
      <w:pPr>
        <w:spacing w:before="40" w:after="40"/>
        <w:ind w:left="283"/>
      </w:pPr>
      <w:r>
        <w:rPr>
          <w:rFonts w:ascii="Calibri" w:hAnsi="Calibri"/>
          <w:b/>
          <w:color w:val="4A6B25"/>
          <w:sz w:val="20"/>
        </w:rPr>
        <w:t xml:space="preserve">2. </w:t>
      </w:r>
      <w:r>
        <w:rPr>
          <w:rFonts w:ascii="Calibri" w:hAnsi="Calibri"/>
          <w:b w:val="0"/>
          <w:color w:val="3A4A28"/>
          <w:sz w:val="20"/>
        </w:rPr>
        <w:t>Ciprocopan (NXP100) ex-China regulatory development — Haisco's July 2026 marketing approval in China for PNH validates the compound and could accelerate ex-China regulatory strategy [4]</w:t>
      </w:r>
    </w:p>
    <w:p>
      <w:pPr>
        <w:spacing w:before="40" w:after="40"/>
        <w:ind w:left="283"/>
      </w:pPr>
      <w:r>
        <w:rPr>
          <w:rFonts w:ascii="Calibri" w:hAnsi="Calibri"/>
          <w:b/>
          <w:color w:val="4A6B25"/>
          <w:sz w:val="20"/>
        </w:rPr>
        <w:t xml:space="preserve">3. </w:t>
      </w:r>
      <w:r>
        <w:rPr>
          <w:rFonts w:ascii="Calibri" w:hAnsi="Calibri"/>
          <w:b w:val="0"/>
          <w:color w:val="3A4A28"/>
          <w:sz w:val="20"/>
        </w:rPr>
        <w:t>$115M follow-on offering in July 2026 extends cash runway to H1 2029, removing near-term dilution overhang and funding multiple clinical readouts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all four compounds could fail, with NXP900 still in early Phase 1b with no efficacy data yet disclosed [1][3]</w:t>
      </w:r>
    </w:p>
    <w:p>
      <w:pPr>
        <w:spacing w:before="40" w:after="40"/>
        <w:ind w:left="283"/>
      </w:pPr>
      <w:r>
        <w:rPr>
          <w:rFonts w:ascii="Calibri" w:hAnsi="Calibri"/>
          <w:b/>
          <w:color w:val="4A6B25"/>
          <w:sz w:val="20"/>
        </w:rPr>
        <w:t xml:space="preserve">2. </w:t>
      </w:r>
      <w:r>
        <w:rPr>
          <w:rFonts w:ascii="Calibri" w:hAnsi="Calibri"/>
          <w:b w:val="0"/>
          <w:color w:val="3A4A28"/>
          <w:sz w:val="20"/>
        </w:rPr>
        <w:t>Extremely thin liquidity with average daily dollar volume of $1.0M barely clearing the IOWN floor, creating outsized volatility and execution risk [6]</w:t>
      </w:r>
    </w:p>
    <w:p>
      <w:pPr>
        <w:spacing w:before="40" w:after="40"/>
        <w:ind w:left="283"/>
      </w:pPr>
      <w:r>
        <w:rPr>
          <w:rFonts w:ascii="Calibri" w:hAnsi="Calibri"/>
          <w:b/>
          <w:color w:val="4A6B25"/>
          <w:sz w:val="20"/>
        </w:rPr>
        <w:t xml:space="preserve">3. </w:t>
      </w:r>
      <w:r>
        <w:rPr>
          <w:rFonts w:ascii="Calibri" w:hAnsi="Calibri"/>
          <w:b w:val="0"/>
          <w:color w:val="3A4A28"/>
          <w:sz w:val="20"/>
        </w:rPr>
        <w:t>Zero revenue and $6-7M quarterly cash burn require continuous capital raises; dilution risk returns beyond H1 2029 if clinical milestones are delayed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Drug development faces meaningful AI disruption risk as AI-driven drug discovery platforms (Recursion Pharmaceuticals, Isomorphic Labs, Insilico Medicine) can accelerate target identification and lead optimization, potentially competing with traditional medicinal chemistry approaches [2]. However, Nuvectis's specific clinical-stage programs (NXP900 in Phase 1b, NXP100 approved in China) have already advanced beyond the discovery phase where AI disruption is greatest — clinical trials, FDA regulatory processes, and manufacturing still require traditional approaches that AI cannot bypass. The risk is moderate: AI could accelerate competitors' discovery timelines but cannot shortcut Nuvectis's existing clinical data and regulatory progress. AI Opportunity (0/1): Nuvectis does not generate revenue from AI products or services and has not disclosed AI-powered drug development tools, operating with a traditional 12-person clinical development team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Nuvectis Pharma Q1 and Q2 2026 Financial Results — net loss $6.1M (Q1), $7.0M (Q2), R&amp;D $4.7M (Q1), cash $22.2M pre-offering, $115M follow-on July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Netskope corporate — NVCT company profile, CEO Ronald Bentsur since 2020, 12 employees, ISS Governance QualityScore 9,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BioSpace — Nuvectis Pharma announces NXP900 presentations at 2026 AACR meeting, preclinical combination synergy with sotorasib in NSCLC models</w:t>
      </w:r>
    </w:p>
    <w:p>
      <w:pPr>
        <w:spacing w:before="20" w:after="20"/>
        <w:ind w:left="170"/>
      </w:pPr>
      <w:r>
        <w:rPr>
          <w:rFonts w:ascii="Calibri" w:hAnsi="Calibri"/>
          <w:b/>
          <w:color w:val="4A6B25"/>
          <w:sz w:val="15"/>
        </w:rPr>
        <w:t xml:space="preserve">4. </w:t>
      </w:r>
      <w:r>
        <w:rPr>
          <w:rFonts w:ascii="Calibri" w:hAnsi="Calibri"/>
          <w:b w:val="0"/>
          <w:color w:val="3A4A28"/>
          <w:sz w:val="17"/>
        </w:rPr>
        <w:t>Nuvectis Pharma — Strategic portfolio expansion via Haisco license: ciprocopan (NXP100) and NXP200, ex-China rights, ciprocopan approved in China for PNH July 2026</w:t>
      </w:r>
    </w:p>
    <w:p>
      <w:pPr>
        <w:spacing w:before="20" w:after="20"/>
        <w:ind w:left="170"/>
      </w:pPr>
      <w:r>
        <w:rPr>
          <w:rFonts w:ascii="Calibri" w:hAnsi="Calibri"/>
          <w:b/>
          <w:color w:val="4A6B25"/>
          <w:sz w:val="15"/>
        </w:rPr>
        <w:t xml:space="preserve">5. </w:t>
      </w:r>
      <w:r>
        <w:rPr>
          <w:rFonts w:ascii="Calibri" w:hAnsi="Calibri"/>
          <w:b w:val="0"/>
          <w:color w:val="3A4A28"/>
          <w:sz w:val="17"/>
        </w:rPr>
        <w:t>MarketBeat — Nuvectis Pharma major shareholder buys $4,476,797 in stock, June 2025</w:t>
      </w:r>
    </w:p>
    <w:p>
      <w:pPr>
        <w:spacing w:before="20" w:after="20"/>
        <w:ind w:left="170"/>
      </w:pPr>
      <w:r>
        <w:rPr>
          <w:rFonts w:ascii="Calibri" w:hAnsi="Calibri"/>
          <w:b/>
          <w:color w:val="4A6B25"/>
          <w:sz w:val="15"/>
        </w:rPr>
        <w:t xml:space="preserve">6. </w:t>
      </w:r>
      <w:r>
        <w:rPr>
          <w:rFonts w:ascii="Calibri" w:hAnsi="Calibri"/>
          <w:b w:val="0"/>
          <w:color w:val="3A4A28"/>
          <w:sz w:val="17"/>
        </w:rPr>
        <w:t>CNN / Morningstar — NVCT stock price $10.31, market cap $260M, avg daily volume 97,288, shares outstanding 25.6M,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