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NVS</w:t>
      </w:r>
      <w:r>
        <w:rPr>
          <w:rFonts w:ascii="Calibri" w:hAnsi="Calibri"/>
          <w:b/>
          <w:color w:val="1A2010"/>
          <w:sz w:val="40"/>
        </w:rPr>
        <w:t xml:space="preserve">  Novartis AG</w:t>
      </w:r>
    </w:p>
    <w:p>
      <w:pPr>
        <w:spacing w:after="120"/>
      </w:pPr>
      <w:r>
        <w:rPr>
          <w:rFonts w:ascii="Calibri" w:hAnsi="Calibri"/>
          <w:b/>
          <w:color w:val="6E8450"/>
          <w:sz w:val="18"/>
        </w:rPr>
        <w:t>DIVIDEND SLEEVE · 2026-09-10 · Inspire: -75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NYSE · Switzerland</w:t>
      </w:r>
    </w:p>
    <w:p>
      <w:pPr>
        <w:spacing w:after="80"/>
      </w:pPr>
      <w:r>
        <w:rPr>
          <w:rFonts w:ascii="Calibri" w:hAnsi="Calibri"/>
          <w:b w:val="0"/>
          <w:color w:val="3A4A28"/>
          <w:sz w:val="20"/>
        </w:rPr>
        <w:t>Novartis AG is a global pharmaceutical company focused exclusively on innovative medicines following the 2023 Sandoz spinoff and 2019 Alcon divestiture. The company operates across five therapeutic areas: cardiovascular/renal/metabolic, immunology, neuroscience, oncology, and hematology. Key growth brands include Kisqali (breast cancer), Pluvicto (prostate cancer radioligand therapy), Kesimpta (MS), Scemblix (leukemia), and Leqvio (cholesterol). Q1 2026 revenue was approximately $14B with five priority brands growing 26-79% in constant currency. Headquartered in Basel, Switzerland with ~78,000 employees globally.</w:t>
      </w:r>
    </w:p>
    <w:p>
      <w:r>
        <w:rPr>
          <w:rFonts w:ascii="Calibri" w:hAnsi="Calibri"/>
          <w:b/>
          <w:color w:val="6E8450"/>
          <w:sz w:val="18"/>
        </w:rPr>
        <w:t>78,000 Employees · https://www.novartis.com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Novartis executed a transformative strategic pivot — spinning off Sandoz (generics, 2023) and Alcon (eye care, 2019) to become a focused innovative medicines company [1]. The result is a portfolio of high-growth priority brands delivering exceptional constant-currency growth: Kisqali +55% cc, Pluvicto +70% cc, Kesimpta +26% cc, Scemblix +79% cc, and Leqvio +69% cc in Q1 2026 [1]. This represents multiple successful product launches alongside a company-defining strategic transformation that redefined the business model. AI Deployment (1/2): Data and digital leadership is one of five strategic priorities, and Novartis has invested in AI-driven drug discovery and clinical trial optimization. However, employees report execution gaps between ambition and impact, and no quantified AI revenue or savings have been publicly reported [2]. Market Share (2/2): Top-5 global pharmaceutical company with category-leading positions in oncology (Kisqali #1 in 1L HR+ breast cancer), radioligand therapy (Pluvicto — pioneering a new therapeutic modality), MS (Kesimpta gaining share from Roche's Ocrevus), and cardiovascular (Leqvio) [1]. Product Pipeline (2/2): Deep pharmaceutical pipeline spanning Phase I-III across all five therapeutic areas with specific launch timelines and revenue visibility. Pluvicto expansion into breast and lung cancer, next-generation radioligand therapies, and multiple late-stage assets support multi-year growth visibility [1]. R&amp;D Intensity (1/1): R&amp;D spending of approximately $10B+ annually (~18% of revenue) is well above the pharma industry average of ~15%, reflecting top-quartile investment in innovation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'Reimagining medicine to improve and extend people's lives' is specific and thoughtful — connecting Novartis's work to a clear social purpose that differentiates from generic pharma statements. The Sandoz and Alcon divestitures demonstrate the mission driving strategic decisions, not the other way around [1]. CEO Vas Narasimhan's 'Unbossed' leadership philosophy reflects genuine intentionality about purpose-driven culture [2]. Community Impact (1/2): Novartis maintains access-to-medicine programs for underserved communities, has committed to net-zero emissions by 2030, and targets water neutrality in operations. Joined S&amp;P Sustainability Yearbook [3]. However, drug pricing controversies and the Inspire score of -75 (Abortion Activism, Embryonic Stem Cells) create tension with the stated patient-centered purpose. Employee Retention (1/2): The 'Unbossed' culture initiative is distinctive for big pharma, but Glassdoor reviews cite 'culture of innovation, frequent massive layoff plans' and 'significant loss of talent due to restructuring and off-shoring,' suggesting the purpose-driven culture does not survive cost-cutting cycles [2]. Insider Buying (0/2): No notable net insider buying by CEO Narasimhan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 metrics. ROE of 34.93% far exceeds the 15% target (score 1.0), reflecting strong capital efficiency in the focused innovative medicines business [5]. Forward P/E of 16.41 is below the 20x target (score 1.0). Profit margin of 23.92% exceeds the 20% target (score 1.0). D/E of 121% is above the 70% target but well within the 300% floor (score 0.78) [5]. Revenue growth YoY of 6.3% is below the 10% target (score 0.88), reflecting Q1 2026's 14pp generic erosion offsetting 13pp volume growth [1]. Dividend metrics: Payout ratio of 44.14% slightly above the 40% target (score 0.93). Consecutive years paid of 28+ scores perfectly at 1.0 (2x weight). Consecutive years growth of 6 (USD-denominated) scores 0.6 (1x weight). Estimated 5yr dividend growth CAGR of ~3% in USD terms scores 0.5 (2x weight) — CHF-denominated growth is higher but USD translation creates drag [5]. Free cash flow of $17.54B provides exceptional dividend coverage. Weighted calculation: 9.19 / 11 x 10 = 8.4, rounded to 8. Liquidity floor cleared: 2.13M avg volume x $150.36 = $320M daily notional.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Novartis under CEO Narasimhan demonstrates genuine infinite game characteristics — the 'Reimagining medicine' purpose has survived leadership transitions and driven two major divestitures (Alcon, Sandoz) to sharpen strategic focus on innovative medicines. The 'Unbossed' culture initiative reflects intentional effort to build trusting teams. However, frequent restructuring cycles with 'massive layoff plans' undermine the infinite game narrative, and the company's quarterly earnings focus and generic competition pressures create finite game tensions. Sinek would appreciate the existential flexibility but question whether the culture can sustain it.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'Reimagining medicine to improve and extend people's lives' is a genuine purpose that has driven transformative strategic decisions — the Sandoz spinoff sacrificed $10B+ in revenue to focus purely on innovative medicines, and the Alcon divestiture similarly traded diversification for purpose alignment [1]. CEO Narasimhan's 'Unbossed' philosophy reinforces purpose-driven culture. However, the cause hasn't been tested through the kind of multi-decade consistency Sinek demands — Narasimhan's tenure began in 2018, and drug pricing controversies create tension with the patient-centered purpose [2].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'Unbossed' cultural transformation — where leaders serve as enablers rather than bosses — is a genuinely distinctive approach in big pharma, and the initiative has been sustained across multiple years [2]. However, Glassdoor reviews citing 'frequent massive layoff plans' and 'significant loss of talent due to restructuring and off-shoring' directly contradict the trusting teams ideal. Repeated restructuring erodes psychological safety regardless of the cultural aspirations. People cannot feel safe enough to be vulnerable and take risks when layoffs are a recurring reality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Novartis competes with Roche, Pfizer, AstraZeneca, and Merck in a framework centered on market share by therapeutic area. Management commentary focuses on competitive positioning — Kisqali vs Ibrance in breast cancer, Kesimpta vs Ocrevus in MS — rather than acknowledging what rivals do better and using that to improve. The pharmaceutical competitive language is inherently market-share driven, with quarterly prescription data driving the narrative.</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Novartis has fundamentally reinvented itself twice in five years — divesting Alcon (2019, a $28B eye care business) and spinning off Sandoz (2023, a $10B+ generics business) to become a pure innovative medicines company [1]. These were painful, purposeful pivots that sacrificed revenue, diversification, and organizational stability in service of sharpening the company's focus on its Just Cause. Sinek would cite this as a textbook example of existential flexibility — abandoning profitable, established businesses to advance the core purpose of reimagining medicine.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Spinning off Sandoz was genuinely courageous — walking away from a stable, profitable generics business to concentrate on higher-risk innovative medicines required conviction that the Just Cause demanded focus over diversification [1]. Maintaining $10B+ annual R&amp;D investment through multiple cycles demonstrates long-term commitment to innovation over short-term earnings. However, the frequent restructuring and layoff cycles suggest short-term cost optimization that conflicts with the courageous leader ideal. The tension between 'Unbossed' culture aspirations and repeated headcount reductions reveals a company that is not fully committed to paying the long-term cost of its stated values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Novartis delivered TTM revenue of approximately $56.6B (+6.3% YoY) with net income of $13.5B and free cash flow of $17.5B, demonstrating the earnings power of its focused innovative medicines strategy post-Sandoz spinoff [1][5]. Five priority brands are growing 26-79% in constant currency (Kisqali, Pluvicto, Kesimpta, Scemblix, Leqvio), collectively offsetting generic erosion in mature products and providing multi-year growth visibility [1]. At a forward P/E of 16.41 with 34.93% ROE and 23.92% profit margin, the stock trades at a reasonable multiple for a top-5 global pharma franchise with category-leading positions. The 2.05% dividend yield with 44.14% payout ratio and $17.5B FCF provides reliable income with strong coverage and room for growth. The radioligand therapy platform (Pluvicto) positions Novartis as the pioneer in a new therapeutic modality with expansion potential beyond prostate cancer.</w:t>
      </w:r>
    </w:p>
    <w:p>
      <w:pPr>
        <w:spacing w:after="120"/>
      </w:pPr>
      <w:r>
        <w:rPr>
          <w:rFonts w:ascii="Calibri" w:hAnsi="Calibri"/>
          <w:b w:val="0"/>
          <w:color w:val="3A4A28"/>
          <w:sz w:val="20"/>
        </w:rPr>
        <w:t>The primary risk is the patent cliff and generic competition cycle. Q1 2026 net sales declined 1% in USD terms as 14 percentage points of generic erosion offset 13pp of volume growth — full-year 2026 guidance calls for only low single-digit sales growth and low single-digit core operating income decline [1]. The Entresto patent expiration will create a significant revenue headwind in coming years. D/E of 121% is above the 70% target, and while manageable for a pharma company with $17.5B FCF, it constrains financial flexibility for M&amp;A or accelerated buybacks. The Inspire score of -75 (MISALIGNED) with 'Abortion Activism' and 'Embryonic Stem Cells' attributions reflects values-based concerns for faith-aligned investors that cannot be resolved through operational improvement [4]. Glassdoor reviews warning of 'frequent massive layoff plans' and talent loss from restructuring suggest the 'Unbossed' culture narrative may not survive cost-cutting cycles, creating organizational risk during a period of accelerating innovation competition [2]. Revenue growth of 6.3% YoY is below the 10% target, reflecting the challenge of growing through generic erosion headwinds.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Five priority brands growing 26-79% cc (Kisqali, Pluvicto, Kesimpta, Scemblix, Leqvio) collectively approaching $15B+ in annualized revenue, with potential to offset patent cliff headwinds through 2027-2028 [1]</w:t>
      </w:r>
    </w:p>
    <w:p>
      <w:pPr>
        <w:spacing w:before="40" w:after="40"/>
        <w:ind w:left="283"/>
      </w:pPr>
      <w:r>
        <w:rPr>
          <w:rFonts w:ascii="Calibri" w:hAnsi="Calibri"/>
          <w:b/>
          <w:color w:val="4A6B25"/>
          <w:sz w:val="20"/>
        </w:rPr>
        <w:t xml:space="preserve">2. </w:t>
      </w:r>
      <w:r>
        <w:rPr>
          <w:rFonts w:ascii="Calibri" w:hAnsi="Calibri"/>
          <w:b w:val="0"/>
          <w:color w:val="3A4A28"/>
          <w:sz w:val="20"/>
        </w:rPr>
        <w:t>Radioligand therapy platform (Pluvicto +70% cc) positions Novartis as the leader in a new therapeutic modality with potential expansion beyond prostate cancer into breast and lung cancer indications, creating a multi-billion dollar franchise [1]</w:t>
      </w:r>
    </w:p>
    <w:p>
      <w:pPr>
        <w:spacing w:before="40" w:after="40"/>
        <w:ind w:left="283"/>
      </w:pPr>
      <w:r>
        <w:rPr>
          <w:rFonts w:ascii="Calibri" w:hAnsi="Calibri"/>
          <w:b/>
          <w:color w:val="4A6B25"/>
          <w:sz w:val="20"/>
        </w:rPr>
        <w:t xml:space="preserve">3. </w:t>
      </w:r>
      <w:r>
        <w:rPr>
          <w:rFonts w:ascii="Calibri" w:hAnsi="Calibri"/>
          <w:b w:val="0"/>
          <w:color w:val="3A4A28"/>
          <w:sz w:val="20"/>
        </w:rPr>
        <w:t>Free cash flow of $17.5B with 44.14% payout ratio supports continued share buyback program and dividend growth, providing shareholder return visibility through the generic competition cycle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Q1 2026 net sales declined 1% USD with 14pp generic erosion offsetting 13pp volume growth — Entresto patent expiration and continued mature product erosion could compress growth below low single-digit guidance if priority brand ramp-up decelerates [1]</w:t>
      </w:r>
    </w:p>
    <w:p>
      <w:pPr>
        <w:spacing w:before="40" w:after="40"/>
        <w:ind w:left="283"/>
      </w:pPr>
      <w:r>
        <w:rPr>
          <w:rFonts w:ascii="Calibri" w:hAnsi="Calibri"/>
          <w:b/>
          <w:color w:val="4A6B25"/>
          <w:sz w:val="20"/>
        </w:rPr>
        <w:t xml:space="preserve">2. </w:t>
      </w:r>
      <w:r>
        <w:rPr>
          <w:rFonts w:ascii="Calibri" w:hAnsi="Calibri"/>
          <w:b w:val="0"/>
          <w:color w:val="3A4A28"/>
          <w:sz w:val="20"/>
        </w:rPr>
        <w:t>Core operating income guided to decline low single-digit in 2026, reflecting the margin pressure of simultaneously managing generic erosion, $10B+ R&amp;D investment (~18% of revenue), and launch spending for priority brands [1]</w:t>
      </w:r>
    </w:p>
    <w:p>
      <w:pPr>
        <w:spacing w:before="40" w:after="40"/>
        <w:ind w:left="283"/>
      </w:pPr>
      <w:r>
        <w:rPr>
          <w:rFonts w:ascii="Calibri" w:hAnsi="Calibri"/>
          <w:b/>
          <w:color w:val="4A6B25"/>
          <w:sz w:val="20"/>
        </w:rPr>
        <w:t xml:space="preserve">3. </w:t>
      </w:r>
      <w:r>
        <w:rPr>
          <w:rFonts w:ascii="Calibri" w:hAnsi="Calibri"/>
          <w:b w:val="0"/>
          <w:color w:val="3A4A28"/>
          <w:sz w:val="20"/>
        </w:rPr>
        <w:t>Inspire score of -75 (MISALIGNED) with 'Abortion Activism' and 'Embryonic Stem Cells' attributions makes Novartis unsuitable for faith-aligned mandates regardless of financial performance, limiting the addressable investor base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Novartis's core business — discovering, developing, manufacturing, and commercializing patent-protected innovative medicines — is deeply insulated from AI disruption [1]. FDA/EMA regulatory approval processes require 10-15 years of clinical trials and billions in development costs that AI alone cannot shortcut. GMP manufacturing requirements, clinical trial infrastructure, and patent protection create structural moats. The physicality of drug manufacturing and the regulatory complexity of pharmaceutical commercialization mean AI cannot substitute for Novartis's core operations. However, AI-enabled biotech competitors could potentially accelerate drug discovery timelines, shortening Novartis's first-mover advantages in specific therapeutic areas, and AI-driven clinical trial optimization could lower barriers for smaller competitors, preventing a full IMMUNE score. AI Opportunity (1/1): Data and digital leadership is a strategic pillar, with AI applications in drug target identification, clinical trial design optimization, and manufacturing process improvement. While no AI-specific revenue is broken out, the enhanced pipeline productivity enabled by AI tools contributes to the 50+ clinical programs currently advancing [1][2]. The radioligand therapy platform (Pluvicto) leverages computational targeting that benefits from AI-enhanced molecular design.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-75</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Embryonic Stem Cells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Novartis Q1 2026 Earnings Release — Priority Brand Growth (Kisqali +55% cc, Pluvicto +70% cc, Kesimpta +26% cc, Scemblix +79% cc, Leqvio +69% cc), FY2026 Guidance Reaffirmation, novartis.com, April 2026</w:t>
      </w:r>
    </w:p>
    <w:p>
      <w:pPr>
        <w:spacing w:before="20" w:after="20"/>
        <w:ind w:left="170"/>
      </w:pPr>
      <w:r>
        <w:rPr>
          <w:rFonts w:ascii="Calibri" w:hAnsi="Calibri"/>
          <w:b/>
          <w:color w:val="4A6B25"/>
          <w:sz w:val="15"/>
        </w:rPr>
        <w:t xml:space="preserve">2. </w:t>
      </w:r>
      <w:r>
        <w:rPr>
          <w:rFonts w:ascii="Calibri" w:hAnsi="Calibri"/>
          <w:b w:val="0"/>
          <w:color w:val="3A4A28"/>
          <w:sz w:val="17"/>
        </w:rPr>
        <w:t>Glassdoor Employee Reviews and Unbossed Culture — 'Frequent Massive Layoff Plans,' 'Significant Loss of Talent,' AI Execution Gaps,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Novartis ESG and Sustainability Commitments — Net-Zero 2030, Water Neutrality, S&amp;P Sustainability Yearbook, novartis.com/esg,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Inspire Insight — NVS Faith Alignment Score -75, Negative: Abortion Activism, Embryonic Stem Cells (from CSV data)</w:t>
      </w:r>
    </w:p>
    <w:p>
      <w:pPr>
        <w:spacing w:before="20" w:after="20"/>
        <w:ind w:left="170"/>
      </w:pPr>
      <w:r>
        <w:rPr>
          <w:rFonts w:ascii="Calibri" w:hAnsi="Calibri"/>
          <w:b/>
          <w:color w:val="4A6B25"/>
          <w:sz w:val="15"/>
        </w:rPr>
        <w:t xml:space="preserve">5. </w:t>
      </w:r>
      <w:r>
        <w:rPr>
          <w:rFonts w:ascii="Calibri" w:hAnsi="Calibri"/>
          <w:b w:val="0"/>
          <w:color w:val="3A4A28"/>
          <w:sz w:val="17"/>
        </w:rPr>
        <w:t>StockAnalysis, Yahoo Finance — NVS Key Statistics: Forward P/E 16.41x, D/E 121%, ROE 34.93%, Profit Margin 23.92%, Dividend Yield 2.05%, Stock Price $150.36,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