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NVVE</w:t>
      </w:r>
      <w:r>
        <w:rPr>
          <w:rFonts w:ascii="Calibri" w:hAnsi="Calibri"/>
          <w:b/>
          <w:color w:val="1A2010"/>
          <w:sz w:val="40"/>
        </w:rPr>
        <w:t xml:space="preserve">  Nuvve Holding Corp.</w:t>
      </w:r>
    </w:p>
    <w:p>
      <w:pPr>
        <w:spacing w:after="120"/>
      </w:pPr>
      <w:r>
        <w:rPr>
          <w:rFonts w:ascii="Calibri" w:hAnsi="Calibri"/>
          <w:b/>
          <w:color w:val="6E8450"/>
          <w:sz w:val="18"/>
        </w:rPr>
        <w:t>GROWTH SLEEVE · 2026-09-07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Electrical Equipment &amp; Parts · OTC · United States</w:t>
      </w:r>
    </w:p>
    <w:p>
      <w:pPr>
        <w:spacing w:after="80"/>
      </w:pPr>
      <w:r>
        <w:rPr>
          <w:rFonts w:ascii="Calibri" w:hAnsi="Calibri"/>
          <w:b w:val="0"/>
          <w:color w:val="3A4A28"/>
          <w:sz w:val="20"/>
        </w:rPr>
        <w:t>Nuvve Holding Corp. is a vehicle-to-grid (V2G) technology company that develops and deploys bidirectional charging solutions, enabling electric vehicles to store and discharge energy back to the grid through its proprietary GIVe software platform. The company operates V2G charging infrastructure for commercial fleets, school buses, and stationary batteries, managing 29.9 MW as of Q2 2026. Revenue surged 268% YoY to $1.23M in Q2 2026, but the company remains deeply unprofitable with a $7.0M net loss and negative gross margins of -14.5%. Nuvve was delisted from Nasdaq in July 2026 for failing to meet bid price, periodic reporting, and stockholders' equity requirements, and now trades on OTC Pink. Cash stood at just $0.5M against $19.4M in liabilities and a $7.5M stockholders' deficit. Market cap approximately $1.3M.</w:t>
      </w:r>
    </w:p>
    <w:p>
      <w:r>
        <w:rPr>
          <w:rFonts w:ascii="Calibri" w:hAnsi="Calibri"/>
          <w:b/>
          <w:color w:val="6E8450"/>
          <w:sz w:val="18"/>
        </w:rPr>
        <w:t>50 Employees · https://nuvve.com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Nuvve has developed and deployed its proprietary GIVe V2G platform and FleetBox charge management system, representing genuine technology development in the nascent vehicle-to-grid space. However, commercial traction remains minimal — Q2 2026 revenue of $1.23M with only 29.9 MW under management after 6+ years of operations demonstrates limited market validation of the technology at scale [1]. AI Deployment (1/2): Nuvve integrated Astrea AI into its FleetBox charge management app in 2023, providing AI-powered charging optimization and V2G revenue maximization for fleet customers. This is an AI product shipping to customers, though adoption remains limited given the company's tiny revenue base [2]. Market Share (0/2): With 29.9 MW under management and $1.23M quarterly revenue, Nuvve is a negligible player in the broader EV charging and grid services market. The company does not hold meaningful market share in any established category, though it has early-mover positioning in the nascent V2G niche. Product Pipeline (1/2): Backlog increased to $5.3M as of June 30, 2026 (up from $4.4M prior quarter), and management described the pipeline as 'the strongest in the company's history' [1]. The company expanded its strategic focus to include energy storage and grid support beyond pure V2G. R&amp;D Intensity (1/1): As a technology company with minimal revenue, Nuvve's R&amp;D spending is high relative to revenue, consistent with an early-stage technology firm investing in platform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Nuvve's mission — 'accelerating electrification through vehicle-to-grid technology' and 'transforming EVs into mobile energy resources to stabilize the grid' — is specific, thoughtful, and connected to a larger purpose beyond profit [2]. CEO Gregory Poilasne's stated vision around affordability, equity, and scalable grid solutions shows genuine intentionality, and the company's entire business exists to advance clean energy infrastructure. The mission clearly differentiates from peers and reflects a genuine belief in a more sustainable energy future. Community Impact (0/2): While Nuvve's V2G technology itself serves a community-benefiting clean energy purpose, no specific charitable programs, foundation, or community investment initiatives were identified beyond the core business activities. Employee Retention (0/2): No employee retention data available for this micro-cap company with approximately 50 employees.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trading volume of approximately 15,000 shares at $1.28 yields ~$19,200 in daily trading value, far below the $1,000,000 liquidity floor required by IOWN [3]. Infrastructure score is automatically set to 0 regardless of underlying metrics. For reference, the underlying financials are dire: negative stockholders' equity of -$7.5M, gross margin of -14.5%, cash of only $0.5M against $19.4M in liabilities, no profitability metrics available (PE, forward PE, PEG all undefined), and the company was delisted from Nasdaq in July 2026 for failing bid price, reporting, and equity requirements [1][3]. The 1-for-18 reverse stock split in July 2026 reduced shares outstanding to approximately 531,000, further limiting trading liquidity on OTC Pink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Nuvve possesses a genuine Just Cause around electrifying transportation and transforming EVs into grid resources — a vision of a cleaner energy future that is larger than any single product or quarter. CEO Gregory Poilasne has pursued this vision persistently for over six years despite enormous financial adversity. However, Sinek would distinguish between a cause worth fighting for and a company capable of fighting for it. With $0.5M in cash, negative equity, Nasdaq delisting, and annual losses far exceeding revenue, Nuvve's ability to continue playing the game is existentially threatened [1][3]. A company that may not survive to next year cannot be considered an infinite game player regardless of the nobility of its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Nuvve's cause — accelerating electrification and transforming EVs into mobile energy resources to stabilize the grid — is genuine, distinctive, and connected to a vision of a sustainable energy future that does not yet exist [2]. CEO Poilasne has pursued this vision through years of losses and near-bankruptcy, demonstrating that the cause is not merely marketing. The pivot to include energy storage and grid support shows the cause (clean energy infrastructure) is guiding strategy, not any single product. However, the cause has not been validated by decades of execution — the company has existed only since 2020 and has not yet achieved product-market fit at meaningful scale.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50 employees, a $0.5M cash position, Nasdaq delisting, and ongoing going-concern risks, organizational trust is likely severely strained [1][3]. Employees face existential uncertainty about the company's survival. No employee satisfaction data, retention metrics, or cultural evidence was found. The near-bankruptcy financial position and delisting create an environment of fear and uncertainty that is antithetical to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Nuvve's leadership framing competitors (Tesla, ChargePoint, Fermata Energy) as worthy rivals whose strengths drive self-improvement. The company's small scale and survival-mode operations leave little room for the reflective competitive posture that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Nuvve demonstrated strategic flexibility by expanding from pure vehicle-to-grid technology to encompass energy storage and grid support services, broadening its addressable market in response to the slower-than-expected adoption of V2G [2]. This pivot was driven by the underlying cause (clean energy infrastructure) rather than abandoning it. However, the company has not yet proven this flexibility leads to commercial viability, and the strategic expansion may reflect desperation rather than the purposeful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Poilasne has shown persistence in pursuing V2G technology through years of losses, minimal revenue, and now Nasdaq delisting — continuing to invest in platform development when a finite-game leader would have pivoted to profitability or shut down [1]. The decision to expand into energy storage while maintaining the V2G core required courage to invest limited capital in growth rather than retreat. However, there is a fine line between courageous long-term investment and inability to achieve commercial viability, and Nuvve's $0.5M cash position suggests the courage may have exceeded the company's capacity to sustain 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Nuvve is a pure-play vehicle-to-grid technology pioneer with a genuine competitive advantage in bidirectional charging and grid services. Q2 2026 revenue surged 268% YoY to $1.23M, net losses narrowed 46% to $7.0M, and backlog grew to $5.3M — the company's 'strongest pipeline in history' [1]. Megawatts under management grew 16.8% to 29.9 MW, demonstrating expanding commercial deployments. The integration of Astrea AI into the FleetBox platform adds differentiation in charging optimization [2]. As V2G technology moves from pilot to commercial adoption — driven by regulatory mandates (California's V2G building code requirements), utility demand response programs, and fleet electrification — Nuvve's early-mover advantage in the software stack could position it as an acquisition target for larger energy or EV infrastructure companies.</w:t>
      </w:r>
    </w:p>
    <w:p>
      <w:pPr>
        <w:spacing w:after="120"/>
      </w:pPr>
      <w:r>
        <w:rPr>
          <w:rFonts w:ascii="Calibri" w:hAnsi="Calibri"/>
          <w:b w:val="0"/>
          <w:color w:val="3A4A28"/>
          <w:sz w:val="20"/>
        </w:rPr>
        <w:t>The bear case is existential survival risk, not mere underperformance. Nuvve has $0.5M in cash against $19.4M in liabilities and a $7.5M stockholders' deficit, creating immediate going-concern risk that could force liquidation or highly dilutive emergency financing [1][3]. Nasdaq delisted the stock in July 2026, triggering automatic termination of the $25M equity facility with Five Narrow Lane/Hailstone Peak — eliminating the company's primary capital access mechanism at the moment it needs funding most [3]. Gross margins remain negative at -14.5%, meaning every dollar of revenue costs more than a dollar to deliver, and the company has never achieved profitability at any level [1]. The 1-for-18 reverse split and move to OTC Pink markets severely limit institutional investor access and trading liquidity, with daily trading value of approximately $19,000. Even with 268% revenue growth, the base is $1.23M quarterly — irrelevant scale for a company burning $7M per quarter. The Inspire Impact Score of 58 (ALIGNED) is the sole positive screen for faith-based investors, but the SELL recommendation reflects that the stock is uninvestable due to near-zero liquidity, negative equity, and existential bankruptcy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V2G regulatory tailwinds including California mandates for bidirectional charging in new construction could accelerate commercial adoption and validate Nuvve's technology platform, driving backlog growth beyond the current $5.3M [1]</w:t>
      </w:r>
    </w:p>
    <w:p>
      <w:pPr>
        <w:spacing w:before="40" w:after="40"/>
        <w:ind w:left="283"/>
      </w:pPr>
      <w:r>
        <w:rPr>
          <w:rFonts w:ascii="Calibri" w:hAnsi="Calibri"/>
          <w:b/>
          <w:color w:val="4A6B25"/>
          <w:sz w:val="20"/>
        </w:rPr>
        <w:t xml:space="preserve">2. </w:t>
      </w:r>
      <w:r>
        <w:rPr>
          <w:rFonts w:ascii="Calibri" w:hAnsi="Calibri"/>
          <w:b w:val="0"/>
          <w:color w:val="3A4A28"/>
          <w:sz w:val="20"/>
        </w:rPr>
        <w:t>Acquisition by a larger EV infrastructure company (ChargePoint, ABB, Eaton) seeking V2G software capabilities could provide an exit premium for shareholders and validate the technology at scale [2]</w:t>
      </w:r>
    </w:p>
    <w:p>
      <w:pPr>
        <w:spacing w:before="40" w:after="40"/>
        <w:ind w:left="283"/>
      </w:pPr>
      <w:r>
        <w:rPr>
          <w:rFonts w:ascii="Calibri" w:hAnsi="Calibri"/>
          <w:b/>
          <w:color w:val="4A6B25"/>
          <w:sz w:val="20"/>
        </w:rPr>
        <w:t xml:space="preserve">3. </w:t>
      </w:r>
      <w:r>
        <w:rPr>
          <w:rFonts w:ascii="Calibri" w:hAnsi="Calibri"/>
          <w:b w:val="0"/>
          <w:color w:val="3A4A28"/>
          <w:sz w:val="20"/>
        </w:rPr>
        <w:t>Conversion of the described 'strongest pipeline in history' into contracted revenue, combined with the expansion into energy storage and grid support, could demonstrate a path to sustainable unit economics and attract rescue 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Immediate going-concern risk with only $0.5M cash against $7M quarterly losses — the company may be unable to fund operations beyond Q3 2026 without emergency financing, which would be severely dilutive or unavailable given the Nasdaq delisting and lost $25M equity facility [1][3]</w:t>
      </w:r>
    </w:p>
    <w:p>
      <w:pPr>
        <w:spacing w:before="40" w:after="40"/>
        <w:ind w:left="283"/>
      </w:pPr>
      <w:r>
        <w:rPr>
          <w:rFonts w:ascii="Calibri" w:hAnsi="Calibri"/>
          <w:b/>
          <w:color w:val="4A6B25"/>
          <w:sz w:val="20"/>
        </w:rPr>
        <w:t xml:space="preserve">2. </w:t>
      </w:r>
      <w:r>
        <w:rPr>
          <w:rFonts w:ascii="Calibri" w:hAnsi="Calibri"/>
          <w:b w:val="0"/>
          <w:color w:val="3A4A28"/>
          <w:sz w:val="20"/>
        </w:rPr>
        <w:t>Nasdaq delisting to OTC Pink eliminates institutional investor access, triggers loss of the $25M equity facility, and signals to customers and partners that Nuvve may not survive as a going concern — potentially causing customer defections and pipeline evaporation [3]</w:t>
      </w:r>
    </w:p>
    <w:p>
      <w:pPr>
        <w:spacing w:before="40" w:after="40"/>
        <w:ind w:left="283"/>
      </w:pPr>
      <w:r>
        <w:rPr>
          <w:rFonts w:ascii="Calibri" w:hAnsi="Calibri"/>
          <w:b/>
          <w:color w:val="4A6B25"/>
          <w:sz w:val="20"/>
        </w:rPr>
        <w:t xml:space="preserve">3. </w:t>
      </w:r>
      <w:r>
        <w:rPr>
          <w:rFonts w:ascii="Calibri" w:hAnsi="Calibri"/>
          <w:b w:val="0"/>
          <w:color w:val="3A4A28"/>
          <w:sz w:val="20"/>
        </w:rPr>
        <w:t>Negative gross margins of -14.5% indicate the company has not achieved product-market fit even at the unit economics level — revenue growth from a $1.23M base is meaningless if each incremental dollar of revenue increases the net loss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Nuvve's core business involves physical EV charging infrastructure, energy management hardware, and regulated utility grid interactions — components that AI cannot directly substitute [1]. The V2G technology requires physical chargers, battery systems, and grid interconnections that are structurally resistant to AI disruption. However, Nuvve's competitive moat is narrow: the GIVe software platform could face displacement from larger AI-enabled competitors (Tesla, ChargePoint, utilities with in-house AI) who could build superior V2G optimization algorithms with vastly more data and resources. The company's small scale (29.9 MW) provides minimal network effects or data advantages. Regulated energy markets add some protection, but the software layer is exposed. AI Opportunity (1/1): Nuvve generates AI-embedded revenue through its Astrea AI integration in the FleetBox charge management app, which is shipping to customers and provides AI-powered charging cost optimization and V2G revenue maximization [2]. While the revenue base is small ($1.23M quarterly), the AI capability is a deployed product feature generating value for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Nuvve Q2 2026 Financial Results — Revenue $1.23M (+268% YoY), Net Loss $7.0M, Gross Margin -14.5%, Cash $0.5M, Backlog $5.3M, 29.9 MW Under Management — StockTitan, GuruFocus, August 2026</w:t>
      </w:r>
    </w:p>
    <w:p>
      <w:pPr>
        <w:spacing w:before="20" w:after="20"/>
        <w:ind w:left="170"/>
      </w:pPr>
      <w:r>
        <w:rPr>
          <w:rFonts w:ascii="Calibri" w:hAnsi="Calibri"/>
          <w:b/>
          <w:color w:val="4A6B25"/>
          <w:sz w:val="15"/>
        </w:rPr>
        <w:t xml:space="preserve">2. </w:t>
      </w:r>
      <w:r>
        <w:rPr>
          <w:rFonts w:ascii="Calibri" w:hAnsi="Calibri"/>
          <w:b w:val="0"/>
          <w:color w:val="3A4A28"/>
          <w:sz w:val="17"/>
        </w:rPr>
        <w:t>Nuvve Strategic Updates — CEO Gregory Poilasne Letter to Stockholders, Astrea AI Integration into FleetBox, Energy Storage Expansion, Board Appointments — Nuvve IR, PRNewswire, 2023-2026</w:t>
      </w:r>
    </w:p>
    <w:p>
      <w:pPr>
        <w:spacing w:before="20" w:after="20"/>
        <w:ind w:left="170"/>
      </w:pPr>
      <w:r>
        <w:rPr>
          <w:rFonts w:ascii="Calibri" w:hAnsi="Calibri"/>
          <w:b/>
          <w:color w:val="4A6B25"/>
          <w:sz w:val="15"/>
        </w:rPr>
        <w:t xml:space="preserve">3. </w:t>
      </w:r>
      <w:r>
        <w:rPr>
          <w:rFonts w:ascii="Calibri" w:hAnsi="Calibri"/>
          <w:b w:val="0"/>
          <w:color w:val="3A4A28"/>
          <w:sz w:val="17"/>
        </w:rPr>
        <w:t>Nuvve Nasdaq Delisting — Hearings Panel Determination July 2026, OTC Pink Migration, $25M Equity Facility Terminated, 1-for-18 Reverse Split — TipRanks, Investing.com, StockTitan,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