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NVX</w:t>
      </w:r>
      <w:r>
        <w:rPr>
          <w:rFonts w:ascii="Calibri" w:hAnsi="Calibri"/>
          <w:b/>
          <w:color w:val="1A2010"/>
          <w:sz w:val="40"/>
        </w:rPr>
        <w:t xml:space="preserve">  NOVONIX Limited</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Australia</w:t>
      </w:r>
    </w:p>
    <w:p>
      <w:pPr>
        <w:spacing w:after="80"/>
      </w:pPr>
      <w:r>
        <w:rPr>
          <w:rFonts w:ascii="Calibri" w:hAnsi="Calibri"/>
          <w:b w:val="0"/>
          <w:color w:val="3A4A28"/>
          <w:sz w:val="20"/>
        </w:rPr>
        <w:t>NOVONIX Limited develops and manufactures synthetic graphite anode materials for lithium-ion batteries, with a primary production facility in Chattanooga (Riverside), Tennessee. The company completed the sale of its Battery Technology Solutions testing business to former CEO Dr. Chris Burns, leaving it focused solely on anode material production. Supported by a $100M DOE grant, conditional $754.8M DOE loan commitment, and $103M in U.S. tax credit allocations. H1 2026 revenue declined to $1.1M from $2.8M with a net loss of $23.6M, and cash fell to $59.5M from $79.9M at year-end 2025. Dual-listed on NASDAQ and ASX.</w:t>
      </w:r>
    </w:p>
    <w:p>
      <w:r>
        <w:rPr>
          <w:rFonts w:ascii="Calibri" w:hAnsi="Calibri"/>
          <w:b/>
          <w:color w:val="6E8450"/>
          <w:sz w:val="18"/>
        </w:rPr>
        <w:t>192 Employees · https://www.novonixgroup.com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NOVONIX shipped the first North American mass-production synthetic graphite anode C-sample to Panasonic Energy from its Riverside facility in June 2026, a milestone positioning the company as a domestic supply chain pioneer [1]. However, the sale of the revenue-generating Battery Technology Solutions business to former CEO Dr. Chris Burns leaves it effectively pre-revenue until graphite sales scale, and H1 2026 revenue declined 61% to $1.1M [1][2]. AI Deployment (0/2): NOVONIX disclosed it is 'increasingly building AI into its business' in battery testing services and partner collaborations, but no AI products are shipping and no quantified AI-driven savings have been reported [2]. Market Share (0/2): Essentially zero market share in the global synthetic graphite market dominated by Chinese producers (BTR New Energy, Shanshan Technology) and established players (Showa Denko, Mitsubishi Chemical). The March 2026 ITC decision removing anti-dumping protection against Chinese imports was a major setback [1]. Product Pipeline (1/2): C-sample qualification with Panasonic is one of the final stages before commercial supply, with silicon anode technology R&amp;D underway, but customer qualification timing rests entirely with Panasonic and no revenue timeline is confirmed [1]. R&amp;D Intensity (1/1): Nearly all expenditure is R&amp;D-focused with 192 employees concentrated on battery materials development, well above industry average for the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NOVONIX's purpose centers on building a sustainable battery materials supply chain in North America, connecting its work to the broader energy transition and EV adoption [3]. The mission is clear and relevant but follows the standard cleantech template without deeply distinctive articulation. Community Impact (1/2): NOVONIX's Chattanooga facility creates manufacturing jobs in Tennessee, the company published an inaugural sustainability report with ESG committee formation in 2024, and DOE partnerships represent public-private investment in domestic supply chain security [4]. Employee Retention (0/2): CEO Dr. Chris Burns departed in January 2025, replaced by Michael O'Kronley (former Ascend Elements CEO) in May 2025. Burns then purchased back the BTS unit, an unusual arrangement raising governance questions [2]. Glassdoor rating of 3.7/5 with only 51% recommending the company as a workplace [2]. Insider Buying (0/2): No evidence of meaningful insider buying by CEO O'Kronley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26,423 shares at $2.62 produces daily dollar volume of approximately $69,200, far below the $1,000,000 minimum threshold [5]. Infrastructure score is therefore 0 regardless of other metrics. Underlying fundamentals are deeply challenged: ROE of -65.6% reflects chronic unprofitability, D/E of 58% is manageable, but cash declined $20.4M in H1 2026 alone ($79.9M to $59.5M), implying an annualized burn rate of ~$41M against just $1.1M in H1 revenue [1]. Forward EPS of -$0.23 against a $2.62 share price indicates no path to near-term profitability. The company's $65M market cap is backed almost entirely by its $59.5M cash position and government funding commitments.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NOVONIX has a genuine clean-energy purpose but is trapped in survival mode. Cash is burning at $41M+ annually against $1.1M in H1 revenue, the CEO was replaced in May 2025 after the founder departed and bought back the BTS unit, and commercial production has not reached meaningful scale after years of development. The company's orientation is necessarily finite — securing next funding rounds and customer qualifications — rather than building for multi-generational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NOVONIX's purpose of building a North American battery materials supply chain connects to the larger energy transition and reducing dependence on Chinese graphite suppliers [1][3]. This is a genuine cause aligned with energy security and sustainability. However, the company has not yet proven it can execute — revenue is declining, the BTS unit was sold off, and core Panasonic qualification remains pending after years of development. The cause is aspirational rather than validated by sustained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departure of founder Dr. Chris Burns, who then purchased back the BTS unit he had built, suggests potential misalignment between leadership and the organization [2]. New CEO O'Kronley arrived May 2025 with additional leadership hires indicating organizational rebuilding rather than stability. Glassdoor rating of 3.7/5 with only 51% recommending is below average, and the 192-person team faces uncertainty with declining revenue and ongoing cash burn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NOVONIX's competitive positioning frames competition around displacing Chinese graphite imports through domestic production and IRA incentives rather than learning from competitors' strengths [1]. No evidence of management referencing Chinese producers' scale advantages or cost efficiencies as motivating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NOVONIX evolved from a graphite exploration company (Graphitecorp) through battery testing services to synthetic graphite anode manufacturing, demonstrating meaningful strategic adaptation [1]. Hiring O'Kronley from Ascend Elements (battery recycling) suggests willingness to bring outside perspective [2]. However, these shifts were incremental rather than transformative, and the current strategy remains locked into the anode materials path.</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NOVONIX pursued $100M DOE grant, $754.8M conditional DOE loan commitment, and $103M tax credit allocation to fund Chattanooga facility buildout — significant long-term bets on domestic graphite production [1]. The strategic pivot to divest BTS and focus entirely on graphite manufacturing represents bold concentration. However, the CEO change from founder Burns to O'Kronley and the sale of the only revenue-generating unit create execution risk at a critical juncture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NOVONIX occupies a unique strategic position as the first company to produce synthetic graphite anode material at mass-production scale in North America, with the June 2026 C-sample delivery to Panasonic Energy representing a critical qualification milestone [1]. The company is backed by substantial government support: $100M DOE grant, conditional $754.8M DOE loan commitment, and $103M tax credit allocation to build out its Chattanooga facility [1]. Growing global demand for lithium-ion batteries driven by EV adoption and energy storage, combined with geopolitical pressure to reduce dependence on Chinese supply chains, creates a secular tailwind for domestic anode production. At $65M market cap, the stock trades near its $59.5M cash position.</w:t>
      </w:r>
    </w:p>
    <w:p>
      <w:pPr>
        <w:spacing w:after="120"/>
      </w:pPr>
      <w:r>
        <w:rPr>
          <w:rFonts w:ascii="Calibri" w:hAnsi="Calibri"/>
          <w:b w:val="0"/>
          <w:color w:val="3A4A28"/>
          <w:sz w:val="20"/>
        </w:rPr>
        <w:t>The bear case is severe and multidimensional. H1 2026 revenue of $1.1M (down 61% YoY) with a $23.6M net loss demonstrates commercial production remains years behind schedule, and cash declined $20.4M in H1 alone to $59.5M, implying an annualized burn rate of $41M that puts the company at risk of another dilutive capital raise within 12-18 months [1]. The March 2026 ITC decision removing anti-dumping protection against Chinese anode imports eliminated a key pricing thesis assumption [1]. The sale of the revenue-generating BTS unit to former CEO Burns leaves the company pre-revenue until Panasonic or other customers complete qualification — a decision and timeline NOVONIX does not control [2]. Daily dollar volume of just ~$69K makes the stock essentially untradeable for institutional investors, and the conditional DOE loan commitment may not convert to actual funding if milestones are not met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Panasonic C-sample qualification decision could unlock the first commercial supply agreement for domestically-produced synthetic graphite anode material in North America [1]</w:t>
      </w:r>
    </w:p>
    <w:p>
      <w:pPr>
        <w:spacing w:before="40" w:after="40"/>
        <w:ind w:left="283"/>
      </w:pPr>
      <w:r>
        <w:rPr>
          <w:rFonts w:ascii="Calibri" w:hAnsi="Calibri"/>
          <w:b/>
          <w:color w:val="4A6B25"/>
          <w:sz w:val="20"/>
        </w:rPr>
        <w:t xml:space="preserve">2. </w:t>
      </w:r>
      <w:r>
        <w:rPr>
          <w:rFonts w:ascii="Calibri" w:hAnsi="Calibri"/>
          <w:b w:val="0"/>
          <w:color w:val="3A4A28"/>
          <w:sz w:val="20"/>
        </w:rPr>
        <w:t>Conversion of the conditional $754.8M DOE loan commitment to definitive funding would provide capital to complete Chattanooga facility buildout and reach commercial scale [1]</w:t>
      </w:r>
    </w:p>
    <w:p>
      <w:pPr>
        <w:spacing w:before="40" w:after="40"/>
        <w:ind w:left="283"/>
      </w:pPr>
      <w:r>
        <w:rPr>
          <w:rFonts w:ascii="Calibri" w:hAnsi="Calibri"/>
          <w:b/>
          <w:color w:val="4A6B25"/>
          <w:sz w:val="20"/>
        </w:rPr>
        <w:t xml:space="preserve">3. </w:t>
      </w:r>
      <w:r>
        <w:rPr>
          <w:rFonts w:ascii="Calibri" w:hAnsi="Calibri"/>
          <w:b w:val="0"/>
          <w:color w:val="3A4A28"/>
          <w:sz w:val="20"/>
        </w:rPr>
        <w:t>Potential reinstatement of trade protections against Chinese graphite imports through new tariff actions or policy changes that would improve domestic pricing dynamics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of ~$41M annualized against $59.5M in reserves (as of June 2026) creates 18-month runway risk — DOE loan commitment is conditional and may not fund if milestones are not met [1]</w:t>
      </w:r>
    </w:p>
    <w:p>
      <w:pPr>
        <w:spacing w:before="40" w:after="40"/>
        <w:ind w:left="283"/>
      </w:pPr>
      <w:r>
        <w:rPr>
          <w:rFonts w:ascii="Calibri" w:hAnsi="Calibri"/>
          <w:b/>
          <w:color w:val="4A6B25"/>
          <w:sz w:val="20"/>
        </w:rPr>
        <w:t xml:space="preserve">2. </w:t>
      </w:r>
      <w:r>
        <w:rPr>
          <w:rFonts w:ascii="Calibri" w:hAnsi="Calibri"/>
          <w:b w:val="0"/>
          <w:color w:val="3A4A28"/>
          <w:sz w:val="20"/>
        </w:rPr>
        <w:t>ITC removal of anti-dumping protection in March 2026 eliminates pricing support against Chinese synthetic graphite producers who benefit from massive scale and lower production costs [1]</w:t>
      </w:r>
    </w:p>
    <w:p>
      <w:pPr>
        <w:spacing w:before="40" w:after="40"/>
        <w:ind w:left="283"/>
      </w:pPr>
      <w:r>
        <w:rPr>
          <w:rFonts w:ascii="Calibri" w:hAnsi="Calibri"/>
          <w:b/>
          <w:color w:val="4A6B25"/>
          <w:sz w:val="20"/>
        </w:rPr>
        <w:t xml:space="preserve">3. </w:t>
      </w:r>
      <w:r>
        <w:rPr>
          <w:rFonts w:ascii="Calibri" w:hAnsi="Calibri"/>
          <w:b w:val="0"/>
          <w:color w:val="3A4A28"/>
          <w:sz w:val="20"/>
        </w:rPr>
        <w:t>Daily dollar volume of ~$69K renders the stock illiquid for institutional investment, severely limiting the investor base and creating liquidity risk for existing shareholders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NOVONIX's core business — manufacturing synthetic graphite anode materials through proprietary chemical processes at industrial scale — is firmly in the physical world and structurally immune to AI displacement [1]. Battery materials production involves complex chemical engineering, high-temperature graphitization, and quality control of physical materials requiring infrastructure that AI cannot substitute. Growing demand for batteries in EVs and AI data center energy storage could increase demand for NOVONIX's products. The DOE-funded domestic supply chain strategy is driven by geopolitical and supply chain security concerns independent of AI trends [1]. AI Opportunity (0/1): No evidence of AI-derived revenue. The company mentions building AI into battery testing but has no quantified AI revenue or products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NOVONIX H1 2026 Financial Results, C-Sample Delivery to Panasonic, and ITC Decision — SEC 6-K Filing, Company News, 2026</w:t>
      </w:r>
    </w:p>
    <w:p>
      <w:pPr>
        <w:spacing w:before="20" w:after="20"/>
        <w:ind w:left="170"/>
      </w:pPr>
      <w:r>
        <w:rPr>
          <w:rFonts w:ascii="Calibri" w:hAnsi="Calibri"/>
          <w:b/>
          <w:color w:val="4A6B25"/>
          <w:sz w:val="15"/>
        </w:rPr>
        <w:t xml:space="preserve">2. </w:t>
      </w:r>
      <w:r>
        <w:rPr>
          <w:rFonts w:ascii="Calibri" w:hAnsi="Calibri"/>
          <w:b w:val="0"/>
          <w:color w:val="3A4A28"/>
          <w:sz w:val="17"/>
        </w:rPr>
        <w:t>NOVONIX CEO Transition and BTS Sale — NASDAQ, Glassdoor Reviews, Recycling Today, January-May 2025</w:t>
      </w:r>
    </w:p>
    <w:p>
      <w:pPr>
        <w:spacing w:before="20" w:after="20"/>
        <w:ind w:left="170"/>
      </w:pPr>
      <w:r>
        <w:rPr>
          <w:rFonts w:ascii="Calibri" w:hAnsi="Calibri"/>
          <w:b/>
          <w:color w:val="4A6B25"/>
          <w:sz w:val="15"/>
        </w:rPr>
        <w:t xml:space="preserve">3. </w:t>
      </w:r>
      <w:r>
        <w:rPr>
          <w:rFonts w:ascii="Calibri" w:hAnsi="Calibri"/>
          <w:b w:val="0"/>
          <w:color w:val="3A4A28"/>
          <w:sz w:val="17"/>
        </w:rPr>
        <w:t>NOVONIX Corporate Website — Leadership, Mission, Sustainability Report,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NOVONIX Inaugural Sustainability Report and ESG Program — NOVONIX Group, March 2024</w:t>
      </w:r>
    </w:p>
    <w:p>
      <w:pPr>
        <w:spacing w:before="20" w:after="20"/>
        <w:ind w:left="170"/>
      </w:pPr>
      <w:r>
        <w:rPr>
          <w:rFonts w:ascii="Calibri" w:hAnsi="Calibri"/>
          <w:b/>
          <w:color w:val="4A6B25"/>
          <w:sz w:val="15"/>
        </w:rPr>
        <w:t xml:space="preserve">5. </w:t>
      </w:r>
      <w:r>
        <w:rPr>
          <w:rFonts w:ascii="Calibri" w:hAnsi="Calibri"/>
          <w:b w:val="0"/>
          <w:color w:val="3A4A28"/>
          <w:sz w:val="17"/>
        </w:rPr>
        <w:t>StockAnalysis.com — NVX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