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NWBI</w:t>
      </w:r>
      <w:r>
        <w:rPr>
          <w:rFonts w:ascii="Calibri" w:hAnsi="Calibri"/>
          <w:b/>
          <w:color w:val="1A2010"/>
          <w:sz w:val="40"/>
        </w:rPr>
        <w:t xml:space="preserve">  Northwest Bancshares, Inc.</w:t>
      </w:r>
    </w:p>
    <w:p>
      <w:pPr>
        <w:spacing w:after="120"/>
      </w:pPr>
      <w:r>
        <w:rPr>
          <w:rFonts w:ascii="Calibri" w:hAnsi="Calibri"/>
          <w:b/>
          <w:color w:val="6E8450"/>
          <w:sz w:val="18"/>
        </w:rPr>
        <w:t>DIVIDEND SLEEVE · 2026-09-25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Northwest Bancshares, Inc. is the holding company for Northwest Bank, a full-service community bank founded in 1896. The bank operates approximately 151 full-service financial centers across Pennsylvania, New York, Ohio, and Indiana, providing personal and commercial banking, wealth management, and treasury management services. Under CEO Louis Torchio, the bank is executing a transformation from consumer-focused thrift to commercial banking platform, achieving 32% YoY C&amp;I loan growth. Q2 2026 delivered record net income of $54M with NIM expanding to 3.75% and full-year revenue guidance of $710-730M.</w:t>
      </w:r>
    </w:p>
    <w:p>
      <w:r>
        <w:rPr>
          <w:rFonts w:ascii="Calibri" w:hAnsi="Calibri"/>
          <w:b/>
          <w:color w:val="6E8450"/>
          <w:sz w:val="18"/>
        </w:rPr>
        <w:t>2,170 Employees · https://www.northwest.bank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Louis Torchio (appointed August 2022), Northwest has executed a meaningful strategic pivot from a consumer-focused thrift to a commercial banking platform, achieving 32% YoY average C&amp;I loan growth in Q2 2026 and expanding the branch network to 151 locations [1]. This represents genuine business model evolution but remains an incremental extension within community banking. AI Deployment (0/2): No AI-powered products shipping to customers and no quantified AI-driven savings reported, despite hiring AI veteran Chad Ballard as CIO in May 2026 and creating an AI Data Governance Officer role [2]. Market Share (1/2): Northwest is a meaningful regional player with ~$15B in assets and 151 branches across four states, though it is not a category leader or fastest share gainer in any banking segment. Product Pipeline (1/2): The CIO hire with KeyBank-inspired AI governance framework and creation of three new customer experience leadership roles signal investment in digital banking transformation, but no specific products with launch dates or revenue visibility have been announced [2]. R&amp;D Intensity (0/1): No specific technology or R&amp;D spending data disclosed to assess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Northwest Bank's community banking purpose — serving local communities since 1896 — is clear and genuine, identifying what the bank does and for whom, but does not articulate a deeper transformative purpose that distinguishes it from other community banks [3]. Community Impact (1/2): As a community bank operating 151 branches across four states including underserved markets, Northwest provides essential banking access and launched the Northwest Inclusion Council in 2020 with Employee Resource Groups in 2022, representing genuine but standard community engagement without specific standout programs or dollar amounts [3]. Employee Retention (0/2): Glassdoor rating of approximately 2.9/5.0 with only 36% of employees recommending the employer signals below-average employee satisfaction; culture and values rated 2.9/5.0, career opportunities 2.8/5.0 [3].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record net income of $54M ($0.36 diluted EPS), up 59% YoY, with NIM expanding to 3.75% and full-year revenue guidance of $710-730M [1]. D/E of 12.95% scores perfectly against the 70% target. ROE of 8.57% scores 0.57 (below 15% target, typical for community bank equity base) [1]. Revenue growth YoY of 23.2% and estimated 5yr CAGR of ~7.2% both score well above targets. Forward P/E of 10.49 scores 1.0 (deeply discounted). Profit margin of 23.4% scores 1.0. However, TTM payout ratio of ~77.7% ($0.80 annual dividend on $1.03 TTM EPS) scores 0.37, and 0 consecutive years of dividend growth with 0% 5yr dividend growth CAGR score 0.0 at 2x weight, creating significant drag. Weighted sum 7.76/12 = Infrastructure 6. Credit quality remains solid: 0.15% annualized net charge-offs [1]. Liquidity: 1.08M avg volume x $15.18 = $16.4M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Northwest Bancshares demonstrates meaningful infinite-game qualities through its 130-year community banking heritage and willingness to invest in strategic transformation under CEO Torchio. The C&amp;I pivot and technology leadership hires show a company adapting for long-term relevance. However, below-average employee satisfaction (36% recommend on Glassdoor), a flat dividend despite record earnings, and no distinctive Just Cause beyond traditional community banking limit the score. The company is playing to survive and grow rather than to advance a transformative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Northwest Bank's 130-year community banking heritage provides a genuine, partially lived purpose — serving local communities with accessible banking across four states since 1896. The purpose has survived multiple economic crises (Great Depression, 2008, COVID) and leadership transitions, and the continued investment in physical branches and community lending reflects commitment beyond quarterly earnings [3]. However, the mission is common among community banks and does not articulate a distinctive vision of a better future that would qualify as a Sinek-level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bank has maintained organizational stability through 130 years of operation, with CEO Torchio promoted internally from Chief Lending Officer, suggesting a culture that develops talent from within. The creation of three new customer experience leadership roles and Inclusion Council signal investment in employee empowerment [2][3]. However, Glassdoor ratings of approximately 2.9/5.0 with only 36% recommending the employer indicate below-average trust and engagement that falls short of a high-trust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Northwest Bank's leadership acknowledging competitors' strengths or framing competition as motivation for self-improvement. Communications focus on internal growth metrics (C&amp;I growth, NIM expansion, record earnings) without referencing lessons from fintech disruptors, larger regional banks (PNC, M&amp;T, KeyBank), or innovative community bank peers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a consumer-focused thrift to a commercially-oriented bank with 32% C&amp;I loan growth represents meaningful strategic evolution — the revenue mix, risk profile, and organizational structure are genuinely changing [1]. The hiring of an AI-experienced CIO and new customer experience roles show willingness to adapt to digital banking realities [2]. These changes are significant for a community bank but remain evolutionary within the banking model rather than a transformative Sinek-level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Northwest has invested in commercial banking capabilities and technology leadership during a period of record profitability — choosing to build long-term capabilities rather than simply harvesting current earnings [1][2]. Record Q2 2026 net income of $54M and pretax pre-provision revenue up 31% YoY validate the strategic shift begun under Torchio. However, the flat $0.20/quarter dividend for 5+ years despite rapidly improving earnings suggests a cautious approach that prioritizes capital preservation over making bolder strategic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Northwest Bancshares delivered record Q2 2026 net income of $54M ($0.36 diluted EPS), up 59% YoY, on revenue of $181.2M growing 20.5% YoY with NIM expanding to 3.75% and pretax pre-provision net revenue up 31% [1]. The C&amp;I lending transformation under CEO Torchio is producing exceptional results — 32% commercial loan growth is diversifying the revenue base and driving above-peer earnings growth. At 10.5x forward P/E with a 5.27% dividend yield, D/E of just 12.95%, and improving credit quality (0.15% net charge-offs), NWBI offers compelling value-plus-income with accelerating fundamentals. Full-year 2026 revenue guidance of $710-730M represents 8-11% growth from the 2025 baseline. The May 2026 CIO hire with KeyBank-inspired AI governance framework signals commitment to technology modernization [2].</w:t>
      </w:r>
    </w:p>
    <w:p>
      <w:pPr>
        <w:spacing w:after="120"/>
      </w:pPr>
      <w:r>
        <w:rPr>
          <w:rFonts w:ascii="Calibri" w:hAnsi="Calibri"/>
          <w:b w:val="0"/>
          <w:color w:val="3A4A28"/>
          <w:sz w:val="20"/>
        </w:rPr>
        <w:t>The bear case centers on dividend stagnation and below-peer profitability metrics. The $0.20/quarter dividend has been flat for 5+ consecutive years despite record earnings, and the 0% dividend growth CAGR provides no income growth for dividend investors, contributing to a TTM payout ratio of 77.7% that scores poorly on income sustainability [1]. ROE of 8.57% remains well below the 15% target, indicating the franchise is not yet earning its cost of equity despite improving profitability. Glassdoor ratings of approximately 2.9/5.0 with only 36% employee recommendation suggest cultural challenges that could constrain execution of the technology transformation strategy [3]. Rapid C&amp;I loan growth of 32% also carries credit concentration risk — if commercial credit quality deteriorates in an economic slowdown, the accelerated growth strategy could reverse quickly. The four-state footprint (PA, NY, OH, IN) faces secular population headwinds in many markets served.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profitability ($54M net income, 59% YoY growth) positions NWBI for a potential dividend increase after 5+ years of flat payouts — any increase would signal management confidence in sustainable earnings and attract yield-focused investors [1]</w:t>
      </w:r>
    </w:p>
    <w:p>
      <w:pPr>
        <w:spacing w:before="40" w:after="40"/>
        <w:ind w:left="283"/>
      </w:pPr>
      <w:r>
        <w:rPr>
          <w:rFonts w:ascii="Calibri" w:hAnsi="Calibri"/>
          <w:b/>
          <w:color w:val="4A6B25"/>
          <w:sz w:val="20"/>
        </w:rPr>
        <w:t xml:space="preserve">2. </w:t>
      </w:r>
      <w:r>
        <w:rPr>
          <w:rFonts w:ascii="Calibri" w:hAnsi="Calibri"/>
          <w:b w:val="0"/>
          <w:color w:val="3A4A28"/>
          <w:sz w:val="20"/>
        </w:rPr>
        <w:t>New CIO Chad Ballard deploying AI governance framework modeled on KeyBank's approach, with AI Data Governance Officer role established — potentially unlocking measurable cost savings and accelerating digital banking capabilities [2]</w:t>
      </w:r>
    </w:p>
    <w:p>
      <w:pPr>
        <w:spacing w:before="40" w:after="40"/>
        <w:ind w:left="283"/>
      </w:pPr>
      <w:r>
        <w:rPr>
          <w:rFonts w:ascii="Calibri" w:hAnsi="Calibri"/>
          <w:b/>
          <w:color w:val="4A6B25"/>
          <w:sz w:val="20"/>
        </w:rPr>
        <w:t xml:space="preserve">3. </w:t>
      </w:r>
      <w:r>
        <w:rPr>
          <w:rFonts w:ascii="Calibri" w:hAnsi="Calibri"/>
          <w:b w:val="0"/>
          <w:color w:val="3A4A28"/>
          <w:sz w:val="20"/>
        </w:rPr>
        <w:t>Forward P/E of 10.5x represents a meaningful discount to regional bank peers at 11-13x, creating re-rating potential as the market recognizes the accelerating earnings trajectory from C&amp;I transformation and NIM expansion to 3.75%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Flat $0.20/quarter dividend for 5+ years with 0% growth CAGR despite record earnings raises questions about management's willingness to return profitability gains to shareholders and limits the stock's appeal to income growth investors [1]</w:t>
      </w:r>
    </w:p>
    <w:p>
      <w:pPr>
        <w:spacing w:before="40" w:after="40"/>
        <w:ind w:left="283"/>
      </w:pPr>
      <w:r>
        <w:rPr>
          <w:rFonts w:ascii="Calibri" w:hAnsi="Calibri"/>
          <w:b/>
          <w:color w:val="4A6B25"/>
          <w:sz w:val="20"/>
        </w:rPr>
        <w:t xml:space="preserve">2. </w:t>
      </w:r>
      <w:r>
        <w:rPr>
          <w:rFonts w:ascii="Calibri" w:hAnsi="Calibri"/>
          <w:b w:val="0"/>
          <w:color w:val="3A4A28"/>
          <w:sz w:val="20"/>
        </w:rPr>
        <w:t>ROE of 8.57% and Glassdoor ratings of approximately 2.9/5.0 (36% recommend) indicate structural limitations in both capital efficiency and organizational culture that could constrain long-term value creation and talent retention [3]</w:t>
      </w:r>
    </w:p>
    <w:p>
      <w:pPr>
        <w:spacing w:before="40" w:after="40"/>
        <w:ind w:left="283"/>
      </w:pPr>
      <w:r>
        <w:rPr>
          <w:rFonts w:ascii="Calibri" w:hAnsi="Calibri"/>
          <w:b/>
          <w:color w:val="4A6B25"/>
          <w:sz w:val="20"/>
        </w:rPr>
        <w:t xml:space="preserve">3. </w:t>
      </w:r>
      <w:r>
        <w:rPr>
          <w:rFonts w:ascii="Calibri" w:hAnsi="Calibri"/>
          <w:b w:val="0"/>
          <w:color w:val="3A4A28"/>
          <w:sz w:val="20"/>
        </w:rPr>
        <w:t>Rapid C&amp;I loan growth of 32% YoY concentrates credit risk in commercial borrowers — any economic slowdown could produce credit losses from a portfolio that grew very quickly under favorable conditions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Northwest Bank's core business is structurally protected from AI disruption — relationship-based commercial lending (32% C&amp;I growth), local branch deposits across 151 locations, FDIC insurance, banking licenses, and regulatory compliance requirements create moats that AI cannot replicate [1]. The shift toward C&amp;I lending further insulates the business, as commercial credit decisions require human judgment, local market knowledge, and deep client relationships. However, consumer banking functions (basic deposits, consumer lending, customer service) face moderate pressure from AI-powered fintech competitors and digital-only banks that can offer higher rates without branch overhead. AI Opportunity (0/1): No AI-powered products shipping to customers and no quantified AI revenue or cost savings reported. The May 2026 CIO hire and AI governance framework modeled on KeyBank's approach signal strategic intent but have not yet produced measurable results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Northwest Bancshares Q2 2026 Earnings — Record Net Income $54M, EPS $0.36, NIM 3.75%, C&amp;I Growth 32% YoY, Revenue $181.2M (+20.5%), Pretax Pre-Provision Revenue $77.3M (+31%), Full-Year Guidance $710-730M — SEC 8-K, TipRanks, July 2026</w:t>
      </w:r>
    </w:p>
    <w:p>
      <w:pPr>
        <w:spacing w:before="20" w:after="20"/>
        <w:ind w:left="170"/>
      </w:pPr>
      <w:r>
        <w:rPr>
          <w:rFonts w:ascii="Calibri" w:hAnsi="Calibri"/>
          <w:b/>
          <w:color w:val="4A6B25"/>
          <w:sz w:val="15"/>
        </w:rPr>
        <w:t xml:space="preserve">2. </w:t>
      </w:r>
      <w:r>
        <w:rPr>
          <w:rFonts w:ascii="Calibri" w:hAnsi="Calibri"/>
          <w:b w:val="0"/>
          <w:color w:val="3A4A28"/>
          <w:sz w:val="17"/>
        </w:rPr>
        <w:t>Northwest Bancshares AI and Technology Strategy — CIO Chad Ballard Hired May 2026, AI Data Governance Officer, KeyBank-Inspired AI Oversight Framework, Three New Customer Experience Roles — SiliconANGLE, PR Newswire, May-July 2026</w:t>
      </w:r>
    </w:p>
    <w:p>
      <w:pPr>
        <w:spacing w:before="20" w:after="20"/>
        <w:ind w:left="170"/>
      </w:pPr>
      <w:r>
        <w:rPr>
          <w:rFonts w:ascii="Calibri" w:hAnsi="Calibri"/>
          <w:b/>
          <w:color w:val="4A6B25"/>
          <w:sz w:val="15"/>
        </w:rPr>
        <w:t xml:space="preserve">3. </w:t>
      </w:r>
      <w:r>
        <w:rPr>
          <w:rFonts w:ascii="Calibri" w:hAnsi="Calibri"/>
          <w:b w:val="0"/>
          <w:color w:val="3A4A28"/>
          <w:sz w:val="17"/>
        </w:rPr>
        <w:t>Northwest Bancshares ESG and Culture — Glassdoor ~2.9/5.0 Rating, 36% Recommend, Inclusion Council (2020), Employee Resource Groups (2022), Community Banking Since 1896 — Glassdoor, Northwest Bank ESG Page,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