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NWL</w:t>
      </w:r>
      <w:r>
        <w:rPr>
          <w:rFonts w:ascii="Calibri" w:hAnsi="Calibri"/>
          <w:b/>
          <w:color w:val="1A2010"/>
          <w:sz w:val="40"/>
        </w:rPr>
        <w:t xml:space="preserve">  Newell Brands Inc.</w:t>
      </w:r>
    </w:p>
    <w:p>
      <w:pPr>
        <w:spacing w:after="120"/>
      </w:pPr>
      <w:r>
        <w:rPr>
          <w:rFonts w:ascii="Calibri" w:hAnsi="Calibri"/>
          <w:b/>
          <w:color w:val="6E8450"/>
          <w:sz w:val="18"/>
        </w:rPr>
        <w:t>DIVIDEND SLEEVE · 2026-10-16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NASDAQ · United States</w:t>
      </w:r>
    </w:p>
    <w:p>
      <w:pPr>
        <w:spacing w:after="80"/>
      </w:pPr>
      <w:r>
        <w:rPr>
          <w:rFonts w:ascii="Calibri" w:hAnsi="Calibri"/>
          <w:b w:val="0"/>
          <w:color w:val="3A4A28"/>
          <w:sz w:val="20"/>
        </w:rPr>
        <w:t>Newell Brands is a consumer products conglomerate housing brands including Rubbermaid, Sharpie, Coleman, Graco, Contigo, and Yankee Candle. Under CEO Chris Peterson (since May 2023), the company has executed a multi-year turnaround built on a 'where to play, how to win' strategy that cut active SKUs by over 80%, rationalized brands from 80 to 50, and deployed an enterprise-wide AI program ('Quantum Leap') with 150+ use cases across 2,000+ daily users. Q2 2026 revenue of $1.99B (+3.0% YoY) marked the company's first quarter of sales growth in four years, aided by a ~$100M tariff-recovery tailwind, prompting raised FY2026 guidance to $7.28-$7.35B revenue and $0.73-$0.77 normalized EPS.</w:t>
      </w:r>
    </w:p>
    <w:p>
      <w:r>
        <w:rPr>
          <w:rFonts w:ascii="Calibri" w:hAnsi="Calibri"/>
          <w:b/>
          <w:color w:val="6E8450"/>
          <w:sz w:val="18"/>
        </w:rPr>
        <w:t>20,000 Employees · https://www.newellbrands.com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Peterson's turnaround produced the first quarterly sales growth in four years (+3.0% in Q2 2026), underpinned by a radical portfolio simplification that cut active SKUs by over 80% and brands from 80 to 50 — a significant business model transformation that reallocated resources from legacy complexity to focused innovation, driving Tier 1/2 new product launches from 1 in 2023 to 18 in 2025 and 25 planned for 2026 [1][2]. AI Deployment (2/2): CEO Peterson detailed extensive AI adoption in a June 2026 podcast: over 2,000 employees use AI daily across 150+ active use cases, supported by an internal 'Quantum Leap' program with an AI steering team and 33 functional 'navigators' [3]. Quantified results include a 500% increase in AI-enabled digital content creation in 2025 versus 2024 with no additional investment, reduced concept-to-launch cycle times, and digital consumer personas for concept testing [3]. Market Share (0/2): No evidence found of category leadership or specific share-gain data; Newell's legacy categories face continued pressure from private label and Amazon Basics competition. Product Pipeline (1/2): The ramp from 1 to 25 Tier 1/2 innovation launches between 2023 and 2026 indicates a strengthening pipeline, with new launches planned through 2027, but no specific named products with revenue targets were disclosed [2][3]. R&amp;D Intensity (0/1): No evidence found that Newell's R&amp;D spend exceeds consumer durables industry norms.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Newell's stated core values — Integrity, Teamwork, Passion for Winning, Ownership, and Leadership — are generic corporate values interchangeable with any consumer products conglomerate, with no evidence of a distinctive, deeply-held purpose shaping strategy [3]. Community Impact (1/2): Newell operates a Corporate Citizenship Council and has relaunched its Chesapeake Bay Fragrance brand in partnership with Keep America Beautiful for shoreline protection — a modest, specific but limited-scope community program [4]. Employee Retention (0/2): No tenure or turnover data found. The multi-year restructuring has included multiple rounds of significant layoffs: Project Phoenix cut ~13% of corporate positions in 2023, 7% of office roles in 2024, and 900+ additional jobs plus 20 Yankee Candle store closures in 2025-2026, representing sustained workforce disruption [5]. Insider Buying (0/2): No evidence of meaningful net insider buying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(Consecutive Years Paid 2x, 5yr Dividend Growth CAGR 2x; payout ratio excluded due to negative trailing earnings). Newell scores 0 on ROE (-8.59%, below the 0% floor), profit margin (-3.05%, below the 0% floor), and 5-year revenue CAGR (-9.7%, below the -5% floor), reflecting a business that has been shrinking and losing money [6]. D/E of 233% scores 0.29 against the 70%/300% target-floor range, reflecting high leverage. Forward P/E of 8.40 scores a strong 1.0 (capped) given depressed earnings expectations. Revenue growth YoY of 3.0% scores 0.77 [1]. The dividend has been cut twice since 2021 ($0.92 to $0.28, a 5yr CAGR of ~-25.7%, scoring 0 at 2x weight) with zero consecutive years of growth, though the company maintains a 34-year unbroken payment history since 1992 (scoring 1.0, capped, at 2x weight). Liquidity: $5.77 x 7.3M avg daily volume = $42.3M. Weighted sum 4.06 / max 11 = 3.69, rounded to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Newell reads as a classic finite-game turnaround story: leadership language centers on 'where to play, how to win' portfolio optimization, cost reduction, and restoring shareholder returns rather than an articulated cause beyond fixing the balance sheet. The two dividend cuts in three years and years of revenue decline (-9.7% 5yr CAGR) reflect a company that has been playing defense. Multiple rounds of layoffs (13% in 2023, 7% in 2024, 900+ in 2025-2026) are directly antithetical to Sinek's Trusting Teams principle, though Peterson's willingness to cut the dividend to preserve capital shows pragmatic financial courage.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evidence was found of an articulated purpose beyond restoring profitability and shareholder value; Peterson's public commentary consistently frames strategy in terms of financial turnaround metrics (EBITDA, margin expansion, cash flow, 'where to play, how to win') rather than a service-oriented vision of a better future [2][3]. The 'Passion for Winning' core value reinforces a finite-game orientation.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rounds of significant layoffs — Project Phoenix cut ~13% of corporate positions in 2023, 7% of office roles in 2024, and 900+ additional jobs plus 20 Yankee Candle store closures in 2025-2026 — represent sustained workforce disruption directly antithetical to Sinek's Circle of Safety [5]. The 2023 CEO transition from Ravi Saligram to Chris Peterson amid activist investor pressure adds to the pattern of organizational instability. No retention or tenure data was found to counter this evidence.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Newell framing competitive pressure from private label, Amazon Basics, or category competitors as a source of self-improvement; available commentary discusses these as headwinds to be managed rather than rivals whose strengths are studied and learned from.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'where to play, how to win' strategy concentrates resources on top brands, shed non-core businesses, and deployed enterprise-wide AI — a real strategic transformation with the portfolio shrinking from 80 to 50 brands and SKUs cut 80% [2][3]. However, this is portfolio pruning and modernization around the existing conglomerate model, not a transformative reinvention of what Newell does.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Cutting the dividend twice (2023 and 2024, a cumulative ~70% reduction from 2021 levels) to preserve capital and pay down debt was a costly, unpopular decision that prioritized long-term balance sheet health over near-term shareholder income [4]. The radical SKU rationalization (80% cut) and AI transformation ('Quantum Leap' with 150+ use cases) show willingness to invest in future capability, though these decisions also reflect competitive necessity rather than a principled stance.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Newell Brands at $5.77 with a $2.5B market cap is showing early turnaround evidence — Q2 2026 delivered the first sales growth in four years (+3.0% to $1.99B) with normalized operating margin expanding to 16.2% from 10.7% and normalized EPS nearly doubling to $0.42, prompting raised FY2026 guidance to $0.73-$0.77 EPS on $7.28-$7.35B revenue [1]. The strongest turnaround signal is the company's AI deployment: CEO Peterson's 'Quantum Leap' program has 2,000+ employees using AI daily across 150+ use cases, delivering a 500% increase in digital content creation and accelerating innovation output from 1 Tier 1/2 launch in 2023 to 25 in 2026 [3]. Forward P/E of 8.4x reflects deep investor skepticism that may be overdone if the turnaround proves durable, and the 4.85% dividend yield provides income while waiting.</w:t>
      </w:r>
    </w:p>
    <w:p>
      <w:pPr>
        <w:spacing w:after="120"/>
      </w:pPr>
      <w:r>
        <w:rPr>
          <w:rFonts w:ascii="Calibri" w:hAnsi="Calibri"/>
          <w:b w:val="0"/>
          <w:color w:val="3A4A28"/>
          <w:sz w:val="20"/>
        </w:rPr>
        <w:t>The bear case remains substantial: ROE of -8.6% and profit margin of -3.1% reflect a company still losing money on a trailing basis, D/E of 233% signals a heavily leveraged balance sheet, and the 5-year revenue CAGR of -9.7% shows a business that has shrunk by nearly half over five years [6]. The Q2 2026 growth was substantially aided by a ~$100M one-time tariff recovery — underlying organic demand recovery remains unproven with full-year revenue guidance of only $7.28-$7.35B [1]. The dividend has been cut twice since 2021 (from $0.92 to $0.28, a -25.7% 5yr CAGR), and three rounds of major layoffs since 2023 (totaling thousands of positions and 20 Yankee Candle stores) signal ongoing cost pressure rather than durable recovery [4][5]. No evidence of market share gains was found in any key brand category, and the innovation pipeline, while expanding rapidly, has yet to prove revenue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transformation under the 'Quantum Leap' program (150+ use cases, 2,000+ daily users) accelerating innovation output from 1 to 25 Tier 1/2 launches between 2023 and 2026, potentially restoring organic volume growth across core brands [3]</w:t>
      </w:r>
    </w:p>
    <w:p>
      <w:pPr>
        <w:spacing w:before="40" w:after="40"/>
        <w:ind w:left="283"/>
      </w:pPr>
      <w:r>
        <w:rPr>
          <w:rFonts w:ascii="Calibri" w:hAnsi="Calibri"/>
          <w:b/>
          <w:color w:val="4A6B25"/>
          <w:sz w:val="20"/>
        </w:rPr>
        <w:t xml:space="preserve">2. </w:t>
      </w:r>
      <w:r>
        <w:rPr>
          <w:rFonts w:ascii="Calibri" w:hAnsi="Calibri"/>
          <w:b w:val="0"/>
          <w:color w:val="3A4A28"/>
          <w:sz w:val="20"/>
        </w:rPr>
        <w:t>Raised FY2026 guidance to $0.73-$0.77 normalized EPS and $7.28-$7.35B revenue signals margin expansion momentum, with normalized operating margin reaching 16.2% in Q2 2026 versus 10.7% a year earlier [1]</w:t>
      </w:r>
    </w:p>
    <w:p>
      <w:pPr>
        <w:spacing w:before="40" w:after="40"/>
        <w:ind w:left="283"/>
      </w:pPr>
      <w:r>
        <w:rPr>
          <w:rFonts w:ascii="Calibri" w:hAnsi="Calibri"/>
          <w:b/>
          <w:color w:val="4A6B25"/>
          <w:sz w:val="20"/>
        </w:rPr>
        <w:t xml:space="preserve">3. </w:t>
      </w:r>
      <w:r>
        <w:rPr>
          <w:rFonts w:ascii="Calibri" w:hAnsi="Calibri"/>
          <w:b w:val="0"/>
          <w:color w:val="3A4A28"/>
          <w:sz w:val="20"/>
        </w:rPr>
        <w:t>Forward P/E of 8.4x and 4.85% dividend yield offer deep-value entry point if turnaround execution sustains beyond the Q2 tariff-recovery tailwind and innovation pipeline begins driving organic share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Q2 2026 growth was substantially aided by a ~$100M one-time tariff-recovery tailwind — underlying organic demand trends remain unproven, with full-year revenue guidance of only $7.28-$7.35B suggesting the growth inflection is fragile [1]</w:t>
      </w:r>
    </w:p>
    <w:p>
      <w:pPr>
        <w:spacing w:before="40" w:after="40"/>
        <w:ind w:left="283"/>
      </w:pPr>
      <w:r>
        <w:rPr>
          <w:rFonts w:ascii="Calibri" w:hAnsi="Calibri"/>
          <w:b/>
          <w:color w:val="4A6B25"/>
          <w:sz w:val="20"/>
        </w:rPr>
        <w:t xml:space="preserve">2. </w:t>
      </w:r>
      <w:r>
        <w:rPr>
          <w:rFonts w:ascii="Calibri" w:hAnsi="Calibri"/>
          <w:b w:val="0"/>
          <w:color w:val="3A4A28"/>
          <w:sz w:val="20"/>
        </w:rPr>
        <w:t>Balance sheet leverage (D/E 233%) combined with negative trailing ROE (-8.6%) and profit margin (-3.1%) leaves minimal cushion if the turnaround stalls, with a third dividend cut plausible if cash flow does not improve [4][6]</w:t>
      </w:r>
    </w:p>
    <w:p>
      <w:pPr>
        <w:spacing w:before="40" w:after="40"/>
        <w:ind w:left="283"/>
      </w:pPr>
      <w:r>
        <w:rPr>
          <w:rFonts w:ascii="Calibri" w:hAnsi="Calibri"/>
          <w:b/>
          <w:color w:val="4A6B25"/>
          <w:sz w:val="20"/>
        </w:rPr>
        <w:t xml:space="preserve">3. </w:t>
      </w:r>
      <w:r>
        <w:rPr>
          <w:rFonts w:ascii="Calibri" w:hAnsi="Calibri"/>
          <w:b w:val="0"/>
          <w:color w:val="3A4A28"/>
          <w:sz w:val="20"/>
        </w:rPr>
        <w:t>Three rounds of major layoffs since 2023 (Project Phoenix 13%, office roles 7%, plus 900+ additional cuts and 20 Yankee Candle closures) reflect ongoing cost pressure and create employee morale risk that could undermine the innovation acceleration Peterson is targeting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Newell's brands (Rubbermaid, Sharpie, Coleman, Graco, Contigo, Yankee Candle) are physical consumer goods sold through mass retail and e-commerce channels — AI cannot substitute for manufactured housewares, writing instruments, baby products, camping gear, or candles, giving the core business structural immunity from AI disruption [1]. Some indirect competitive pressure exists from AI-optimized private-label and Amazon Basics competitors using AI for pricing and marketing, but this is a secular competitive dynamic rather than an AI substitution risk. AI Opportunity (0/1): Despite extensive internal AI deployment (150+ use cases, 2,000+ daily users, 500% increase in digital content creation), Newell does not generate revenue FROM AI-related products or services — the AI adoption is an internal efficiency tool, not a revenue stream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Newell Brands Q2 2026 Results — Revenue $1.99B (+3.0% YoY), First Sales Growth in 4 Years, Normalized EPS $0.42, ~$100M Tariff Recovery, Raised FY2026 Guidance — BusinessWire, Barchart, Las Vegas Sun, July 2026</w:t>
      </w:r>
    </w:p>
    <w:p>
      <w:pPr>
        <w:spacing w:before="20" w:after="20"/>
        <w:ind w:left="170"/>
      </w:pPr>
      <w:r>
        <w:rPr>
          <w:rFonts w:ascii="Calibri" w:hAnsi="Calibri"/>
          <w:b/>
          <w:color w:val="4A6B25"/>
          <w:sz w:val="15"/>
        </w:rPr>
        <w:t xml:space="preserve">2. </w:t>
      </w:r>
      <w:r>
        <w:rPr>
          <w:rFonts w:ascii="Calibri" w:hAnsi="Calibri"/>
          <w:b w:val="0"/>
          <w:color w:val="3A4A28"/>
          <w:sz w:val="17"/>
        </w:rPr>
        <w:t>Newell Brands Turnaround Strategy — 'Where to Play, How to Win,' SKUs Cut 80%, Brands 80→50, Innovation Launches 1→25 (2023-2026) — MarketBeat CAGNY Summary, Newell IR, February 2026</w:t>
      </w:r>
    </w:p>
    <w:p>
      <w:pPr>
        <w:spacing w:before="20" w:after="20"/>
        <w:ind w:left="170"/>
      </w:pPr>
      <w:r>
        <w:rPr>
          <w:rFonts w:ascii="Calibri" w:hAnsi="Calibri"/>
          <w:b/>
          <w:color w:val="4A6B25"/>
          <w:sz w:val="15"/>
        </w:rPr>
        <w:t xml:space="preserve">3. </w:t>
      </w:r>
      <w:r>
        <w:rPr>
          <w:rFonts w:ascii="Calibri" w:hAnsi="Calibri"/>
          <w:b w:val="0"/>
          <w:color w:val="3A4A28"/>
          <w:sz w:val="17"/>
        </w:rPr>
        <w:t>CEO Chris Peterson AI Interview — 'Quantum Leap' Program, 150+ Use Cases, 2,000+ Daily AI Users, 500% Digital Content Creation Increase, Digital Consumer Personas — CPG Guys Podcast, Audible, June 2026</w:t>
      </w:r>
    </w:p>
    <w:p>
      <w:pPr>
        <w:spacing w:before="20" w:after="20"/>
        <w:ind w:left="170"/>
      </w:pPr>
      <w:r>
        <w:rPr>
          <w:rFonts w:ascii="Calibri" w:hAnsi="Calibri"/>
          <w:b/>
          <w:color w:val="4A6B25"/>
          <w:sz w:val="15"/>
        </w:rPr>
        <w:t xml:space="preserve">4. </w:t>
      </w:r>
      <w:r>
        <w:rPr>
          <w:rFonts w:ascii="Calibri" w:hAnsi="Calibri"/>
          <w:b w:val="0"/>
          <w:color w:val="3A4A28"/>
          <w:sz w:val="17"/>
        </w:rPr>
        <w:t>Newell Brands Dividend History and Corporate Citizenship — Cuts from $0.92 (2021) to $0.28, 34-Year Payment History, Chesapeake Bay/Keep America Beautiful Partnership — MacroTrends, Dividend Power, Newell Corporate Citizenship Report</w:t>
      </w:r>
    </w:p>
    <w:p>
      <w:pPr>
        <w:spacing w:before="20" w:after="20"/>
        <w:ind w:left="170"/>
      </w:pPr>
      <w:r>
        <w:rPr>
          <w:rFonts w:ascii="Calibri" w:hAnsi="Calibri"/>
          <w:b/>
          <w:color w:val="4A6B25"/>
          <w:sz w:val="15"/>
        </w:rPr>
        <w:t xml:space="preserve">5. </w:t>
      </w:r>
      <w:r>
        <w:rPr>
          <w:rFonts w:ascii="Calibri" w:hAnsi="Calibri"/>
          <w:b w:val="0"/>
          <w:color w:val="3A4A28"/>
          <w:sz w:val="17"/>
        </w:rPr>
        <w:t>Newell Brands Layoffs and Restructuring — Project Phoenix (13% cuts 2023), Office Roles (7% 2024), 900+ Jobs and 20 Yankee Candle Stores (2025-2026) — Retail Dive, ST Lawyers, ConsumerGoods.com</w:t>
      </w:r>
    </w:p>
    <w:p>
      <w:pPr>
        <w:spacing w:before="20" w:after="20"/>
        <w:ind w:left="170"/>
      </w:pPr>
      <w:r>
        <w:rPr>
          <w:rFonts w:ascii="Calibri" w:hAnsi="Calibri"/>
          <w:b/>
          <w:color w:val="4A6B25"/>
          <w:sz w:val="15"/>
        </w:rPr>
        <w:t xml:space="preserve">6. </w:t>
      </w:r>
      <w:r>
        <w:rPr>
          <w:rFonts w:ascii="Calibri" w:hAnsi="Calibri"/>
          <w:b w:val="0"/>
          <w:color w:val="3A4A28"/>
          <w:sz w:val="17"/>
        </w:rPr>
        <w:t>NWL Financial Data — Forward P/E 8.40, D/E 232.97%, ROE -8.59%, Profit Margin -3.05%, Revenue Growth 3.0%, 5yr Rev CAGR -9.7%, Avg Volume 7.3M, Price $5.77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