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NWSA</w:t>
      </w:r>
      <w:r>
        <w:rPr>
          <w:rFonts w:ascii="Calibri" w:hAnsi="Calibri"/>
          <w:b/>
          <w:color w:val="1A2010"/>
          <w:sz w:val="40"/>
        </w:rPr>
        <w:t xml:space="preserve">  News Corporation</w:t>
      </w:r>
    </w:p>
    <w:p>
      <w:pPr>
        <w:spacing w:after="120"/>
      </w:pPr>
      <w:r>
        <w:rPr>
          <w:rFonts w:ascii="Calibri" w:hAnsi="Calibri"/>
          <w:b/>
          <w:color w:val="6E8450"/>
          <w:sz w:val="18"/>
        </w:rPr>
        <w:t>GROWTH SLEEVE · 2026-09-01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Publishing · NASDAQ · United States</w:t>
      </w:r>
    </w:p>
    <w:p>
      <w:pPr>
        <w:spacing w:after="80"/>
      </w:pPr>
      <w:r>
        <w:rPr>
          <w:rFonts w:ascii="Calibri" w:hAnsi="Calibri"/>
          <w:b w:val="0"/>
          <w:color w:val="3A4A28"/>
          <w:sz w:val="20"/>
        </w:rPr>
        <w:t>News Corporation is a global diversified media and information services company operating through five segments: Dow Jones (Wall Street Journal, Barron's, MarketWatch), Digital Real Estate Services (REA Group, Move/Realtor.com), Book Publishing (HarperCollins), Subscription Video Services (Foxtel/Kayo), and News Media (The Times, New York Post, Australian newspapers). Under CEO Robert Thomson, the company has repositioned as a digital-first enterprise with 61% of FY2026 revenues now digital [1]. Full-year FY2026 revenues rose 7% to $9.03B, segment EBITDA grew 15% to $1.63B, and operating cash flow surged 26% to $1.24B, with Q4 revenue up 11% to $2.3B — the fastest quarterly growth in four years [1].</w:t>
      </w:r>
    </w:p>
    <w:p>
      <w:r>
        <w:rPr>
          <w:rFonts w:ascii="Calibri" w:hAnsi="Calibri"/>
          <w:b/>
          <w:color w:val="6E8450"/>
          <w:sz w:val="18"/>
        </w:rPr>
        <w:t>22,300 Employees · https://newscorp.com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News Corp executed a meaningful digital transformation — digital revenue grew from 20% of total in 2014 to 61% by FY2026, while Q4 FY2026 posted revenue of $2.3B (up 11%) and record segment EBITDA of $423M (up 31%) [1]. The company pioneered AI content licensing as a genuinely new revenue category, demonstrating business model evolution beyond incremental product refresh. AI Deployment (2/2): CEO Thomson has secured quantifiable AI revenue — a $250M five-year OpenAI deal covering WSJ, Barron's, and MarketWatch, a $50M/year Meta deal announced March 2026, and an anticipated $1.5B Anthropic settlement [2]. Thomson is 'in the midst of advanced negotiations with several companies,' positioning News Corp as the leading AI content licensor globally [2]. Market Share (1/2): Dow Jones dominates premium business journalism with 6.4M+ digital subscribers, and REA Group is the leading Australian digital real estate platform with Q4 revenue up 19% [1]. However, News Media and Foxtel face competitive pressure from NYT, Bloomberg, and streaming alternatives. Product Pipeline (1/2): Thomson described vertical AI firms creating a 'whole new generation of opportunity' for content licensing, providing forward revenue visibility beyond existing OpenAI and Meta agreements [2]. R&amp;D Intensity (1/1): Investment in digital products, AI licensing infrastructure, and CTO appointment signals above-average technology spend for the media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News Corp's purpose centers on delivering premium journalism and trusted information through century-old mastheads like the Wall Street Journal and The Times of London — clear societal importance but not deeply distinctive from NYT or Bloomberg, and the purpose is diluted across disparate segments including real estate and book publishing [3]. Community Impact (0/2): News Corp states it believes in 'protecting the environment, pursuing strong governance practices,' with the Nominating and Corporate Governance Committee overseeing ESG matters [3]. However, these are standard corporate practices without distinctive community investment programs or quantified charitable impact. Employee Retention (1/2): Robert Thomson has served as CEO since 2013, providing over a decade of leadership continuity through the digital transformation [2]. The 22,300-person workforce navigated the print-to-digital transition without mass layoffs, suggesting managed organizational evolution. Insider Buying (0/2): Share buybacks totaled $643M in FY2026, signaling corporate confidence, but this is capital allocation rather than personal insider conviction purchasing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31% is well below the 70% target (score 1.0). ROE of 7.04% falls below the 15% target (score 0.47, 2x weight), reflecting the media industry's structural challenge in generating high returns on legacy assets [4]. Revenue growth YoY of 7% partially meets the 10% target (score 0.90), but 5-year revenue CAGR of 0.03% is essentially flat (score 0.33, 2x weight), reflecting the slow structural transformation from print to digital on continuing operations [4]. Forward P/E of 23.09 is slightly above the 20x target (score 0.92). Net profit margin of 8.2% (FY2026 net income $743M on $9.03B revenue) falls below the 20% target (score 0.41) [1]. PEG ratio estimated at 1.9 based on forward P/E and ~12% EPS growth trajectory (score 0.55, 2x weight). Liquidity floor easily cleared: ~3.71M avg volume x $27.56 = $102.3M daily turnover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News Corp operates with a mixed infinite-game mindset. Thomson's 13-year CEO tenure and the Murdoch family's multigenerational media ownership provide genuine long-term orientation, and the strategic pivot from AI victim to AI content licensor demonstrates remarkable existential flexibility [2]. However, the dual-class share structure concentrating control in the Murdoch family, aggressive adversarial litigation posture against AI companies, and commercially-driven culture prioritizing profitability metrics over mission-driven language reflect finite-game instincts [3].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News Corp's cause — trusted, premium journalism that informs democratic society — is genuinely enduring and connects to something larger than profit. The Wall Street Journal's editorial mission has persisted for over a century [1]. Thomson has articulated a compelling forward-looking version of this cause, positioning editorial content as essential infrastructure for the AI era, arguing it is 'as fundamental as semiconductors or energy' [2]. However, the cause is partially diluted by tabloid sensationalism at the New York Post and the company's broader Murdoch media legacy.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Thomson's 13-year CEO tenure provides leadership continuity unusual in media, and the company managed its digital transformation — shifting from 20% digital revenue to 61% — without mass layoffs across 22,300 employees [1]. However, the Murdoch family's dual-class share structure creates a governance dynamic where employee and minority shareholder voices are structurally subordinated to family interests, limiting the psychological safety Sinek considers essential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News Corp's competitive posture is primarily adversarial. Thomson warned of a 'slimy sea of AI slop' and threatened additional lawsuits beyond the Perplexity AI litigation [2]. While the OpenAI and Meta licensing deals show pragmatic willingness to partner, the dominant competitive frame is extracting maximum value from technology companies rather than learning from rivals or improving the broader information ecosystem.</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News Corp's pivot from viewing AI as an existential threat to positioning itself as the premier 'AI input company' represents genuine strategic reinvention. Thomson reframed the entire value proposition from selling subscriptions and advertising to licensing proprietary content to AI platforms, creating an entirely new revenue category worth hundreds of millions annually at near-zero marginal cost [2]. The $250M OpenAI deal, $50M/year Meta agreement, and anticipated $1.5B Anthropic settlement demonstrate the company's willingness to fundamentally transform its relationship with technology disruption rather than resist it.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Thomson demonstrated courage in pursuing the AI licensing strategy early — signing a $250M deal with OpenAI while many publishers were solely focused on litigation and resistance [2]. Maintaining investment in digital transformation through the print revenue decline showed discipline. However, the AI licensing deals are immediately accretive rather than requiring costly sacrifice, and the $643M in buybacks prioritizes near-term shareholder returns over long-term investment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News Corp at $27.56 offers a differentiated AI content licensing play backed by accelerating financial performance — FY2026 revenues grew 7% to $9.03B, segment EBITDA surged 15% to $1.63B, free cash flow jumped 42% to $811M, and Q4 revenue rose 11% with record quarterly EBITDA of $423M [1]. The company's strategic repositioning as the leading 'AI input company' has created a high-margin revenue stream from existing editorial archives: $250M from OpenAI, $50M/year from Meta, anticipated $1.5B from Anthropic, with advanced negotiations ongoing with multiple additional companies [2]. Dow Jones hit a 30% EBITDA margin, Digital Real Estate Services posted 19% revenue growth and 46% EBITDA growth in Q4, and HarperCollins provides additional AI licensing optionality [1]. The $643M in share buybacks and conservative 31% D/E ratio signal capital discipline and management confidence.</w:t>
      </w:r>
    </w:p>
    <w:p>
      <w:pPr>
        <w:spacing w:after="120"/>
      </w:pPr>
      <w:r>
        <w:rPr>
          <w:rFonts w:ascii="Calibri" w:hAnsi="Calibri"/>
          <w:b w:val="0"/>
          <w:color w:val="3A4A28"/>
          <w:sz w:val="20"/>
        </w:rPr>
        <w:t>The bear case centers on valuation, governance concentration, and structural media headwinds. At 29.93x trailing earnings with ROE of only 7.04%, a near-zero 5-year revenue CAGR, and 8.2% profit margin, the stock is priced for a growth inflection that depends heavily on AI licensing deals remaining durable [4]. If AI companies develop synthetic content alternatives, shift training methodologies, or regulatory frameworks limit licensing value, News Corp's highest-growth revenue stream could plateau [2]. The Murdoch family's dual-class share structure concentrates control and creates succession risk — strategic decisions may prioritize family interests over minority shareholder returns [3]. Legacy News Media and Subscription Video segments face structural decline from print advertising erosion and cord-cutting. The forward P/E of 23.09 reflects improving fundamentals but leaves limited margin of safety if growth decelerates.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licensing deal pipeline expansion — Thomson confirmed 'advanced negotiations with several companies' beyond OpenAI and Meta, with vertical AI firms creating a 'whole new generation of opportunity' for premium content monetization at near-zero marginal cost [2]</w:t>
      </w:r>
    </w:p>
    <w:p>
      <w:pPr>
        <w:spacing w:before="40" w:after="40"/>
        <w:ind w:left="283"/>
      </w:pPr>
      <w:r>
        <w:rPr>
          <w:rFonts w:ascii="Calibri" w:hAnsi="Calibri"/>
          <w:b/>
          <w:color w:val="4A6B25"/>
          <w:sz w:val="20"/>
        </w:rPr>
        <w:t xml:space="preserve">2. </w:t>
      </w:r>
      <w:r>
        <w:rPr>
          <w:rFonts w:ascii="Calibri" w:hAnsi="Calibri"/>
          <w:b w:val="0"/>
          <w:color w:val="3A4A28"/>
          <w:sz w:val="20"/>
        </w:rPr>
        <w:t>Dow Jones digital transformation hitting inflection with 30% EBITDA margin and Q4 FY2026 revenue up 7% to $644M, driven by professional information products and data analytics growing faster than traditional subscriptions [1]</w:t>
      </w:r>
    </w:p>
    <w:p>
      <w:pPr>
        <w:spacing w:before="40" w:after="40"/>
        <w:ind w:left="283"/>
      </w:pPr>
      <w:r>
        <w:rPr>
          <w:rFonts w:ascii="Calibri" w:hAnsi="Calibri"/>
          <w:b/>
          <w:color w:val="4A6B25"/>
          <w:sz w:val="20"/>
        </w:rPr>
        <w:t xml:space="preserve">3. </w:t>
      </w:r>
      <w:r>
        <w:rPr>
          <w:rFonts w:ascii="Calibri" w:hAnsi="Calibri"/>
          <w:b w:val="0"/>
          <w:color w:val="3A4A28"/>
          <w:sz w:val="20"/>
        </w:rPr>
        <w:t>Digital Real Estate Services surging with combined Q4 revenue up 19% to $553M and EBITDA up 46% to $222M, as REA Group expands Australian dominance and Move/Realtor.com benefits from housing market stabilization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licensing durability risk — if AI companies develop synthetic content alternatives, shift training to non-copyrighted data, or regulatory frameworks limit licensing economics, News Corp's highest-growth revenue stream could decelerate [2]</w:t>
      </w:r>
    </w:p>
    <w:p>
      <w:pPr>
        <w:spacing w:before="40" w:after="40"/>
        <w:ind w:left="283"/>
      </w:pPr>
      <w:r>
        <w:rPr>
          <w:rFonts w:ascii="Calibri" w:hAnsi="Calibri"/>
          <w:b/>
          <w:color w:val="4A6B25"/>
          <w:sz w:val="20"/>
        </w:rPr>
        <w:t xml:space="preserve">2. </w:t>
      </w:r>
      <w:r>
        <w:rPr>
          <w:rFonts w:ascii="Calibri" w:hAnsi="Calibri"/>
          <w:b w:val="0"/>
          <w:color w:val="3A4A28"/>
          <w:sz w:val="20"/>
        </w:rPr>
        <w:t>Murdoch family dual-class share governance concentrates control and creates succession risk — strategic decisions may not align with minority shareholder interests, and family dynamics have historically created uncertainty for News Corp entities [3]</w:t>
      </w:r>
    </w:p>
    <w:p>
      <w:pPr>
        <w:spacing w:before="40" w:after="40"/>
        <w:ind w:left="283"/>
      </w:pPr>
      <w:r>
        <w:rPr>
          <w:rFonts w:ascii="Calibri" w:hAnsi="Calibri"/>
          <w:b/>
          <w:color w:val="4A6B25"/>
          <w:sz w:val="20"/>
        </w:rPr>
        <w:t xml:space="preserve">3. </w:t>
      </w:r>
      <w:r>
        <w:rPr>
          <w:rFonts w:ascii="Calibri" w:hAnsi="Calibri"/>
          <w:b w:val="0"/>
          <w:color w:val="3A4A28"/>
          <w:sz w:val="20"/>
        </w:rPr>
        <w:t>ROE of 7.04% and profit margin of 8.2% reflect structural media industry challenges that digital transformation has improved but not resolved, with legacy print and subscription video segments still weighing on returns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News Corp's proprietary journalism and editorial archives represent a critical AI training input that cannot be synthetically generated with equivalent authority or legal standing. CEO Thomson's strategic framing of the company as an 'AI input company' — essential as semiconductors or energy — is validated by the $250M OpenAI deal, $50M/year Meta agreement, and anticipated $1.5B Anthropic settlement [2]. AI labs must license premium content for legal compliance and training quality, converting what was initially a threat (content scraping) into a high-margin revenue stream. The company's aggressive litigation against Perplexity AI for unauthorized content use and Thomson's warning about 'slimy sea of AI slop' reinforces the legal moat [2]. Book Publishing (HarperCollins) and Digital Real Estate (REA Group) also hold defensible content advantages. Minor exposure exists in commoditized local news segments where AI summaries could divert traffic. AI Opportunity (1/1): AI licensing already generates material revenue — $50M/year from OpenAI, $50M/year from Meta, with Thomson confirming 'advanced negotiations with several companies' and the proliferation of vertical AI firms creating incremental demand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News Corp FY2026 and Q4 FY2026 Earnings Release — Revenue $9.03B (+7%), Segment EBITDA $1.63B (+15%), Q4 Revenue $2.3B (+11%), Record Q4 EBITDA $423M (+31%), FCF $811M (+42%), SEC 8-K, August 2026</w:t>
      </w:r>
    </w:p>
    <w:p>
      <w:pPr>
        <w:spacing w:before="20" w:after="20"/>
        <w:ind w:left="170"/>
      </w:pPr>
      <w:r>
        <w:rPr>
          <w:rFonts w:ascii="Calibri" w:hAnsi="Calibri"/>
          <w:b/>
          <w:color w:val="4A6B25"/>
          <w:sz w:val="15"/>
        </w:rPr>
        <w:t xml:space="preserve">2. </w:t>
      </w:r>
      <w:r>
        <w:rPr>
          <w:rFonts w:ascii="Calibri" w:hAnsi="Calibri"/>
          <w:b w:val="0"/>
          <w:color w:val="3A4A28"/>
          <w:sz w:val="17"/>
        </w:rPr>
        <w:t>News Corp AI Licensing Strategy — OpenAI $250M deal, Meta $50M/year deal (March 2026), Anthropic $1.5B anticipated settlement, CEO Thomson 'AI input company' positioning, Perplexity litigation — TIKR, TheWrap, BigGo Finance, 2024-2026</w:t>
      </w:r>
    </w:p>
    <w:p>
      <w:pPr>
        <w:spacing w:before="20" w:after="20"/>
        <w:ind w:left="170"/>
      </w:pPr>
      <w:r>
        <w:rPr>
          <w:rFonts w:ascii="Calibri" w:hAnsi="Calibri"/>
          <w:b/>
          <w:color w:val="4A6B25"/>
          <w:sz w:val="15"/>
        </w:rPr>
        <w:t xml:space="preserve">3. </w:t>
      </w:r>
      <w:r>
        <w:rPr>
          <w:rFonts w:ascii="Calibri" w:hAnsi="Calibri"/>
          <w:b w:val="0"/>
          <w:color w:val="3A4A28"/>
          <w:sz w:val="17"/>
        </w:rPr>
        <w:t>News Corp ESG and Governance — SEC DEF 14A filings, corporate governance committee oversight of ESG matters, dual-class share structure, Murdoch family control, 2022-2026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CNBC, Yahoo Finance — NWSA Key Statistics: Stock Price $27.56, P/E 29.93, Forward P/E 23.09, D/E 31%, ROE 7.04%, Dividend Yield 0.65%, Avg Volume 3.71M,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