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NWS</w:t>
      </w:r>
      <w:r>
        <w:rPr>
          <w:rFonts w:ascii="Calibri" w:hAnsi="Calibri"/>
          <w:b/>
          <w:color w:val="1A2010"/>
          <w:sz w:val="40"/>
        </w:rPr>
        <w:t xml:space="preserve">  News Corporation</w:t>
      </w:r>
    </w:p>
    <w:p>
      <w:pPr>
        <w:spacing w:after="120"/>
      </w:pPr>
      <w:r>
        <w:rPr>
          <w:rFonts w:ascii="Calibri" w:hAnsi="Calibri"/>
          <w:b/>
          <w:color w:val="6E8450"/>
          <w:sz w:val="18"/>
        </w:rPr>
        <w:t>GROWTH SLEEVE · 2026-09-24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NASDAQ · United States</w:t>
      </w:r>
    </w:p>
    <w:p>
      <w:pPr>
        <w:spacing w:after="80"/>
      </w:pPr>
      <w:r>
        <w:rPr>
          <w:rFonts w:ascii="Calibri" w:hAnsi="Calibri"/>
          <w:b w:val="0"/>
          <w:color w:val="3A4A28"/>
          <w:sz w:val="20"/>
        </w:rPr>
        <w:t>News Corporation is a diversified media and information services company operating through five segments: Digital Real Estate Services (REA Group, Move/Realtor.com), Dow Jones (Wall Street Journal, Barron's, MarketWatch, Factiva), Book Publishing (HarperCollins), News Media (The Times, New York Post, The Australian), and Other (Storyful). Controlled by the Murdoch family through dual-class share structure. CEO Robert Thomson has led since 2013. FY2026 (ended June) delivered total revenues of $9.03B (+7% YoY) with net income of $743M (+15%), highlighted by record Q4 with 11% revenue growth and 167% net income surge.</w:t>
      </w:r>
    </w:p>
    <w:p>
      <w:r>
        <w:rPr>
          <w:rFonts w:ascii="Calibri" w:hAnsi="Calibri"/>
          <w:b/>
          <w:color w:val="6E8450"/>
          <w:sz w:val="18"/>
        </w:rPr>
        <w:t>21,700 Employees · https://newscorp.com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News Corp has executed a significant digital transformation — digital revenue now exceeds 50% of total, Dow Jones digital subscriptions have grown consistently, and REA Group's Digital Real Estate revenues surged 17% YoY to $473M in Q3 FY2026 [1]. HarperCollins continues to set revenue records. The AI content licensing pivot (OpenAI, Meta, Anthropic settlement) represents a genuinely new revenue stream from existing IP assets. AI Deployment (1/2): News Corp struck a $250M five-year content licensing deal with OpenAI in 2024, a $50M/year deal with Meta in early 2026, and expects revenue from the $1.5B Anthropic settlement [3][4]. These are quantifiable AI revenue streams, though they represent passive content licensing rather than active AI product development. Market Share (1/2): WSJ and Barron's maintain leadership positions in premium financial news, REA Group dominates Australian property listings, and HarperCollins is one of the 'Big Five' global publishers [1]. Meaningful positions across multiple verticals, though not category-defining dominance. Product Pipeline (1/2): Thomson revealed the company is 'in the midst of advanced negotiations with several companies' for additional AI licensing deals, and Dow Jones set a 5-year target of $1B EBITDA, providing revenue visibility [3]. R&amp;D Intensity (1/1): Investments in REA Group's digital platform, Dow Jones data analytics, and AI integration capabilities position News Corp above traditional media peers in technology adoption.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News Corp's implicit purpose centers on creating and distributing authoritative, professional content — a clear articulation of what the company does. Thomson's framing that 'IP Powers AI' and his positioning of News Corp as an essential 'input company' for AI is strategically clear but ultimately about business sustainability rather than a transcendent cause [3]. The company's identity is defined more by the Murdoch family legacy than by a mission that transcends commercial interests. Community Impact (0/2): No evidence of specific corporate charitable programs, foundation activities, or distinctive community investment initiatives was identified in public disclosures. Employee Retention (1/2): Glassdoor rating of 3.4/5 with 69% of employees recommending to a friend is adequate for the media industry. CEO Thomson's 13-year tenure and the stability of senior leadership across divisions provide continuity, though reviews cite mixed cultural sentiments [5]. Insider Buying (0/2): The Murdoch family maintains a controlling stake through legacy ownership, but no evidence of recent executive-level open-market share purchases was identified. Perpetual Ltd acquired 5.8M shares in June 2026 at $28.06/share, but this is an institutional investor, not an insider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all 7 growth metrics. Balance sheet is conservatively managed with D/E of 31.56%, well below the 70% target, with $2.1B cash against $2.9B debt [5]. ROE improved to 7.98% but remains below the 15% target, and profit margin of 6.35% falls significantly short of 20% [5]. FY2026 total revenue reached $9.03B (+7% YoY), with Q4 delivering 11% revenue growth and record profitability — net income surging 167% to $230M [1]. Forward P/E improved significantly to 20.65x, now near the 20x target. PEG of 2.91 remains elevated. The 5-year revenue CAGR of approximately 3.3% on a comparable basis (adjusting for Foxtel divestiture) reflects modest organic growth. Liquidity check: ~1.31M avg daily volume x $31.22 = $40.9M, comfortably above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News Corp exhibits mixed infinite game qualities. The company's journalism brands serve genuine societal purposes that have endured through decades of industry disruption, and Thomson's AI content licensing strategy demonstrates strategic adaptability. The digital transformation from print to 50%+ digital revenue reflects long-term orientation. However, the Murdoch family's controlling dual-class share structure concentrates power, the editorial influence tensions with journalistic purpose create credibility challenges, and the 'woo and sue' competitive approach mixes infinite and finite elements.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News Corp's implicit cause — professional journalism and authoritative content serving a vital societal function — has endured across multi-decade history and survived the digital disruption that destroyed many legacy media companies [1]. WSJ, The Times of London, and HarperCollins represent institutions with purposes beyond quarterly earnings. Thomson's framing that 'IP Powers AI' elevates content creation as an essential input to the future economy [3]. However, the Murdoch family's editorial influence and the commercial-journalistic tension prevent this from reaching transformative status.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Adequate organizational trust with notable concerns. CEO Thomson's 13+ year tenure provides leadership continuity across the 22,300-employee global organization [5]. The stability of senior leadership across divisions suggests organizational coherence. However, the Murdoch family's dual-class share structure concentrating control creates inherent power asymmetry, Glassdoor reviews cite mixed cultural sentiments, and the ongoing Murdoch family succession dynamics add organizational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News Corp's competitive language is predominantly finite. Thomson's 'woo and sue' approach frames AI companies as entities to extract value from rather than learn from, warning scrapers that 'we're coming for you' [4]. While the OpenAI partnership acknowledges AI's strengths, the overall competitive framing is about protecting turf and monetizing threats rather than genuine competitive humility in Sinek's sense.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News Corp has meaningfully evolved from a print-focused newspaper company to a diversified digital media and information services business, with digital revenue now exceeding 50% of total [1]. REA Group and Dow Jones digital subscription growth represent strategic diversification. The AI content licensing pivot creates an entirely new revenue stream from existing assets [3][4]. However, these are incremental extensions of the core content business — each leverages existing IP rather than fundamentally reinventing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Thomson's decision to license content to OpenAI — when most media companies were suing AI firms — demonstrated strategic pragmatism and willingness to embrace a potentially threatening technology on favorable terms [3]. The $50M/year Meta deal and Dow Jones $1B EBITDA 5-year target show willingness to invest in long-term capability. The dual 'woo and sue' approach against AI companies (partnering with some, suing Perplexity AI) shows conviction [4]. However, the company has not made the kind of dramatic, costly strategic sacrifice that characterizes top courage scores.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News Corp delivered Q3 FY2026 revenue of $2.2B (up 9% YoY) with segment EBITDA of $343M (up 18%, margin expanding from 14.4% to 15.7%), marking the 12th consecutive quarter of profit growth [1]. The AI content licensing strategy is materializing into significant recurring revenue: $250M OpenAI deal, $50M/year Meta deal, and expected Anthropic settlement revenue, with additional deals in advanced negotiation [3][4]. Digital Real Estate revenues surged 17% to $473M, and Dow Jones set a 5-year target of $1B EBITDA. At $16.2B market cap, News Corp's portfolio of premium content brands (WSJ, HarperCollins), digital platforms (REA Group), and growing AI licensing revenue creates diversified value that the market may be underappreciating.</w:t>
      </w:r>
    </w:p>
    <w:p>
      <w:pPr>
        <w:spacing w:after="120"/>
      </w:pPr>
      <w:r>
        <w:rPr>
          <w:rFonts w:ascii="Calibri" w:hAnsi="Calibri"/>
          <w:b w:val="0"/>
          <w:color w:val="3A4A28"/>
          <w:sz w:val="20"/>
        </w:rPr>
        <w:t>The bear case centers on structural media industry decline and valuation. Forward P/E of ~29x and PEG of 3.53 imply the market already prices in growth that may not materialize, while ROE of 5.33% and profit margin of 6.81% demonstrate the company is not generating adequate returns on capital [5]. The 5-year revenue CAGR of -6.6% reflects a legacy shrinking business that AI licensing revenue must offset. AI-generated content and AI search summaries (Google AI Overviews, ChatGPT) pose existential threats to the advertising and subscription model that funds professional journalism — the very content News Corp licenses to AI companies may accelerate its own displacement. The Murdoch family's dual-class share structure limits minority shareholder influence and creates succession uncertainty. The $0.65% dividend yield provides negligible income support, and News Corp competes with dramatically larger digital platforms for advertising and subscription dollars.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Additional AI content licensing deals closing in H2 2026, with Thomson confirming advanced negotiations with multiple AI companies, potentially creating a $200M+ annual AI licensing revenue stream</w:t>
      </w:r>
    </w:p>
    <w:p>
      <w:pPr>
        <w:spacing w:before="40" w:after="40"/>
        <w:ind w:left="283"/>
      </w:pPr>
      <w:r>
        <w:rPr>
          <w:rFonts w:ascii="Calibri" w:hAnsi="Calibri"/>
          <w:b/>
          <w:color w:val="4A6B25"/>
          <w:sz w:val="20"/>
        </w:rPr>
        <w:t xml:space="preserve">2. </w:t>
      </w:r>
      <w:r>
        <w:rPr>
          <w:rFonts w:ascii="Calibri" w:hAnsi="Calibri"/>
          <w:b w:val="0"/>
          <w:color w:val="3A4A28"/>
          <w:sz w:val="20"/>
        </w:rPr>
        <w:t>Dow Jones executing toward its 5-year $1B EBITDA target through digital subscription growth, AI-enhanced data analytics products, and professional information expansion</w:t>
      </w:r>
    </w:p>
    <w:p>
      <w:pPr>
        <w:spacing w:before="40" w:after="40"/>
        <w:ind w:left="283"/>
      </w:pPr>
      <w:r>
        <w:rPr>
          <w:rFonts w:ascii="Calibri" w:hAnsi="Calibri"/>
          <w:b/>
          <w:color w:val="4A6B25"/>
          <w:sz w:val="20"/>
        </w:rPr>
        <w:t xml:space="preserve">3. </w:t>
      </w:r>
      <w:r>
        <w:rPr>
          <w:rFonts w:ascii="Calibri" w:hAnsi="Calibri"/>
          <w:b w:val="0"/>
          <w:color w:val="3A4A28"/>
          <w:sz w:val="20"/>
        </w:rPr>
        <w:t>Anthropic settlement revenue beginning in late 2026, validating the legal strategy and establishing precedent for future content protection and monetization against AI scrapers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AI-generated content and AI search summaries cannibalizing website traffic and undermining the advertising and subscription model — News Corp's own AI licensing deals may accelerate the displacement of the content it licenses</w:t>
      </w:r>
    </w:p>
    <w:p>
      <w:pPr>
        <w:spacing w:before="40" w:after="40"/>
        <w:ind w:left="283"/>
      </w:pPr>
      <w:r>
        <w:rPr>
          <w:rFonts w:ascii="Calibri" w:hAnsi="Calibri"/>
          <w:b/>
          <w:color w:val="4A6B25"/>
          <w:sz w:val="20"/>
        </w:rPr>
        <w:t xml:space="preserve">2. </w:t>
      </w:r>
      <w:r>
        <w:rPr>
          <w:rFonts w:ascii="Calibri" w:hAnsi="Calibri"/>
          <w:b w:val="0"/>
          <w:color w:val="3A4A28"/>
          <w:sz w:val="20"/>
        </w:rPr>
        <w:t>Forward P/E of ~29x and PEG of 3.53 leave no margin of safety, while 5.33% ROE and 6.81% profit margin signal inadequate capital efficiency — any growth disappointment could trigger significant multiple compression</w:t>
      </w:r>
    </w:p>
    <w:p>
      <w:pPr>
        <w:spacing w:before="40" w:after="40"/>
        <w:ind w:left="283"/>
      </w:pPr>
      <w:r>
        <w:rPr>
          <w:rFonts w:ascii="Calibri" w:hAnsi="Calibri"/>
          <w:b/>
          <w:color w:val="4A6B25"/>
          <w:sz w:val="20"/>
        </w:rPr>
        <w:t xml:space="preserve">3. </w:t>
      </w:r>
      <w:r>
        <w:rPr>
          <w:rFonts w:ascii="Calibri" w:hAnsi="Calibri"/>
          <w:b w:val="0"/>
          <w:color w:val="3A4A28"/>
          <w:sz w:val="20"/>
        </w:rPr>
        <w:t>Murdoch family succession dynamics and dual-class share structure create governance concentration risk, limiting minority shareholder influence and creating strategic uncertainty beyond Thomson's CEO tenure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News Corp faces meaningful AI disruption risk across its media and publishing segments. AI-generated content threatens traditional journalism economics, AI search summaries reduce click-through traffic to news websites, and HarperCollins faces emerging AI-generated book competition [1]. However, News Corp has proactively monetized this threat through content licensing: the $250M OpenAI deal, $50M/year Meta deal, and expected Anthropic settlement revenue create significant defensive revenue from its proprietary data assets [3][4]. Dow Jones data (Factiva, Newswires) and original investigative journalism retain defensible value that AI cannot easily replicate. REA Group's digital real estate platform is less exposed to AI content disruption. The net assessment is EXPOSED but with meaningful defensive assets and proactive monetization strategies. AI Opportunity (1/1): News Corp generates quantifiable AI revenue through its OpenAI partnership ($250M over 5 years), Meta content licensing ($50M/year), and expects share of the $1.5B Anthropic settlement [3][4]. Thomson stated additional AI deals are in advanced negotiations, with AI licensing positioned as a growing and recurring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News Corp FY2026 Full-Year Results — Revenue $9.03B (+7%), Net Income $743M (+15%), Q4 Revenue $2.34B (+11%), August 2026</w:t>
      </w:r>
    </w:p>
    <w:p>
      <w:pPr>
        <w:spacing w:before="20" w:after="20"/>
        <w:ind w:left="170"/>
      </w:pPr>
      <w:r>
        <w:rPr>
          <w:rFonts w:ascii="Calibri" w:hAnsi="Calibri"/>
          <w:b/>
          <w:color w:val="4A6B25"/>
          <w:sz w:val="15"/>
        </w:rPr>
        <w:t xml:space="preserve">2. </w:t>
      </w:r>
      <w:r>
        <w:rPr>
          <w:rFonts w:ascii="Calibri" w:hAnsi="Calibri"/>
          <w:b w:val="0"/>
          <w:color w:val="3A4A28"/>
          <w:sz w:val="17"/>
        </w:rPr>
        <w:t>News Corp Q3 FY2026 Earnings Release — Revenue $2.2B (up 9%), Segment EBITDA $343M (up 18%), May 2026</w:t>
      </w:r>
    </w:p>
    <w:p>
      <w:pPr>
        <w:spacing w:before="20" w:after="20"/>
        <w:ind w:left="170"/>
      </w:pPr>
      <w:r>
        <w:rPr>
          <w:rFonts w:ascii="Calibri" w:hAnsi="Calibri"/>
          <w:b/>
          <w:color w:val="4A6B25"/>
          <w:sz w:val="15"/>
        </w:rPr>
        <w:t xml:space="preserve">3. </w:t>
      </w:r>
      <w:r>
        <w:rPr>
          <w:rFonts w:ascii="Calibri" w:hAnsi="Calibri"/>
          <w:b w:val="0"/>
          <w:color w:val="3A4A28"/>
          <w:sz w:val="17"/>
        </w:rPr>
        <w:t>News Corp CEO Robert Thomson on AI Strategy — TheWrap, Yahoo Finance, BigGo Finance, May 2026</w:t>
      </w:r>
    </w:p>
    <w:p>
      <w:pPr>
        <w:spacing w:before="20" w:after="20"/>
        <w:ind w:left="170"/>
      </w:pPr>
      <w:r>
        <w:rPr>
          <w:rFonts w:ascii="Calibri" w:hAnsi="Calibri"/>
          <w:b/>
          <w:color w:val="4A6B25"/>
          <w:sz w:val="15"/>
        </w:rPr>
        <w:t xml:space="preserve">4. </w:t>
      </w:r>
      <w:r>
        <w:rPr>
          <w:rFonts w:ascii="Calibri" w:hAnsi="Calibri"/>
          <w:b w:val="0"/>
          <w:color w:val="3A4A28"/>
          <w:sz w:val="17"/>
        </w:rPr>
        <w:t>News Corp Meta AI Content Deal — $50M/year, Anthropic Settlement Expected — March-May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Yahoo Finance — NWS Key Statistics and Valuation,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