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NXPI</w:t>
      </w:r>
      <w:r>
        <w:rPr>
          <w:rFonts w:ascii="Calibri" w:hAnsi="Calibri"/>
          <w:b/>
          <w:color w:val="1A2010"/>
          <w:sz w:val="40"/>
        </w:rPr>
        <w:t xml:space="preserve">  NXP Semiconductors N.V.</w:t>
      </w:r>
    </w:p>
    <w:p>
      <w:pPr>
        <w:spacing w:after="120"/>
      </w:pPr>
      <w:r>
        <w:rPr>
          <w:rFonts w:ascii="Calibri" w:hAnsi="Calibri"/>
          <w:b/>
          <w:color w:val="6E8450"/>
          <w:sz w:val="18"/>
        </w:rPr>
        <w:t>GROWTH SLEEVE · 2026-08-29 · Inspire: 69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Semiconductors · NASDAQ · Netherlands</w:t>
      </w:r>
    </w:p>
    <w:p>
      <w:pPr>
        <w:spacing w:after="80"/>
      </w:pPr>
      <w:r>
        <w:rPr>
          <w:rFonts w:ascii="Calibri" w:hAnsi="Calibri"/>
          <w:b w:val="0"/>
          <w:color w:val="3A4A28"/>
          <w:sz w:val="20"/>
        </w:rPr>
        <w:t>NXP Semiconductors N.V. provides high-performance mixed-signal semiconductor solutions for automotive, industrial IoT, mobile, and communication infrastructure markets. The company operates through four segments: Automotive (software-defined vehicles, ADAS, electrification), Industrial &amp; IoT (edge AI, factory automation), Mobile (secure mobile transactions, UWB), and Communication Infrastructure &amp; Other (5G, network processing). #1 or #2 globally in automotive semiconductors with leading positions in secure NFC, automotive radar, and MCUs.</w:t>
      </w:r>
    </w:p>
    <w:p>
      <w:r>
        <w:rPr>
          <w:rFonts w:ascii="Calibri" w:hAnsi="Calibri"/>
          <w:b/>
          <w:color w:val="6E8450"/>
          <w:sz w:val="18"/>
        </w:rPr>
        <w:t>34,500 Employees · https://www.nxp.com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NXP transformed itself through the $11.8B Freescale acquisition (2015), which doubled its automotive semiconductor footprint and created the industry's broadest automotive portfolio. More recently, the company launched the eIQ Agentic AI Framework for edge AI and pivoted aggressively into software-defined vehicle platforms, physical AI, and data center control-plane products [4][5]. Q2 2026 revenue of $3.5B (up 19% YoY) demonstrates commercial traction from these initiatives [2]. AI Deployment (1/2): eIQ Agentic AI Framework ships secure, real-time edge AI enabling autonomous intelligence directly on edge devices. Physical AI products deployed in automotive (ADAS, autonomous driving), industrial automation, and robotics applications [5]. AI products are shipping but specific AI-driven revenue not separately quantified. Market Share (2/2): #1 or #2 globally in automotive semiconductors, with Q1 2026 automotive revenue of $1.78B (up 10% YoY adjusted for MEMS divestiture) [1]. Category leader in secure NFC, automotive radar processing, and automotive MCUs. Dominant position in the critical software-defined vehicle transition where content per vehicle grows from ~$400 to $1,000+ [1]. Product Pipeline (1/2): Software-defined vehicle platforms, eIQ AI framework, physical AI for industrial edge, and data center control-plane products represent active pipeline vectors. Reaffirmed double-digit growth targets for 2026 and 2027, but specific next-gen product launch timelines not articulated with dates [2][4]. R&amp;D Intensity (1/1): Strong R&amp;D investment in automotive-grade semiconductors, edge AI, and security IP. Above average for the analog/mixed-signal semiconductor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NXP's purpose of 'bringing intelligent systems to the edge' and enabling a smarter, safer, more connected world identifies what the company does (edge semiconductors for automotive and industrial) and for whom (OEMs, industrial customers), but doesn't articulate a deeper purpose that transcends the semiconductor business [4]. Clear and functional, positioned between generic and distinctive. Community Impact (1/2): NXP maintains comprehensive sustainability programs with specific targets — 9% reduction in normalized carbon footprint (Scope 1 and 2), 35% renewable electricity usage, and an industry-leading TCIR of 0.10 [6]. General corporate responsibility without distinctive community investment programs or specific charitable dollar amounts. Employee Retention (1/2): New CEO Rafael Sotomayor (effective October 2025) brings 30 years of semiconductor industry experience, with an orderly transition from predecessor Kurt Sievers [5]. The 34,500-person global organization operates with stability across manufacturing facilities worldwide. Average retention for the semiconductor industry without exceptional evidence of mission-driven retention. Insider Buying (0/2): No meaningful net insider buying data identified. CEO transition period with standard compensation-related stock transactions.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excellent marks across nearly every metric. D/E of 93% scores 0.90, slightly above the 70% target but well-managed for a capital-intensive semiconductor manufacturer [3]. ROE of 27.92% scores perfectly at 1.0, demonstrating strong capital efficiency with $2.95B TTM net income [3]. Revenue growth YoY of 19% scores perfectly at 1.0 (Q2 2026 revenue $3.5B, up 19% with growth across all end markets and regions) [2]. Revenue 5yr CAGR of approximately 8% scores 0.87, from ~$8.6B (FY2020) to ~$12.6B (FY2025) — dragged by the 2024 automotive inventory correction [3]. Forward P/E of 13.4 scores perfectly at 1.0, well below the 20 target and reflecting a valuation discount to semiconductor peers [3]. Profit margin of 22.56% scores perfectly at 1.0, above the 20% target [3]. Forward PEG of 0.70 scores perfectly at 1.0, signaling strong value relative to growth expectations [3]. Non-GAAP operating margin of 35.1% in Q2 2026 exceeded guidance midpoint, demonstrating operational discipline [2]. Liquidity floor cleared: 3.38M avg volume x $223.58 = $755M daily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NXP demonstrates stability and strategic consistency but lacks the deep purpose-driven leadership that characterizes infinite-game companies. The company has evolved steadily through the Freescale acquisition and automotive focus, but leadership transitions and competitive language suggest a company playing to win in automotive semiconductors rather than playing to keep playing for a larger purpose. CEO Sotomayor is still establishing his vision and the company's culture appears competent but not mission-obsessed [4][5].</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NXP's purpose of enabling intelligent edge systems in automotive and industrial markets is functional and commercially motivated. While the transition to software-defined vehicles and physical AI has societal benefits (safer driving, industrial efficiency), the company articulates this as a market opportunity rather than a Just Cause in Sinek's terms [4][5]. New CEO Sotomayor frames 'physical AI' as a growth driver — the language is about market positioning, not about advancing a vision of a better future that transcends the company's products. The purpose is commercially sound but doesn't inspire sacrifice or describe a future state that doesn't yet exist.</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Sievers to Sotomayor was orderly, with Sotomayor promoted from within after extensive internal experience [5]. NXP's 34,500-person global workforce operates across manufacturing facilities with industry-leading safety performance (TCIR of 0.10, well below semiconductor average) [6]. The organization demonstrates adequate stability — no major layoffs, leadership continuity at the functional level, and consistent operational execution. However, no exceptional evidence of psychological safety, employee empowerment, or mission-driven culture that would indicate a high-trust organization.</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NXP competes against Infineon, STMicroelectronics, Texas Instruments, and Renesas in automotive semiconductors, and increasingly against NVIDIA and Qualcomm in automotive AI processing. The company's competitive approach focuses on differentiation through automotive-grade qualification, security IP, and edge AI capability rather than market-share warfare [4]. Management commentary at Technology Leadership Forum 2026 emphasized improving NXP's own technology roadmap and expanding content per vehicle rather than defeating specific competitors [4]. The presence of NVIDIA in automotive computing has pushed NXP to develop the eIQ AI framework — using competitive pressure to innovate.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NXP has evolved from a Philips semiconductor division to an independent company to a merged NXP-Freescale entity to a focused automotive/industrial semiconductor specialist. The Freescale acquisition (2015) was transformative, doubling the automotive portfolio and redefining the company's strategic focus. More recently, the pivot toward software-defined vehicles and edge AI represents meaningful evolution [4][5]. However, these changes are incremental within the semiconductor paradigm — NXP hasn't fundamentally abandoned a core business to pursue a new vision. The evolution has been steady and strategic rather than the bold, painful reinvention Sinek describes.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NXP continued R&amp;D investment through the 2024 automotive semiconductor downturn when peers were cutting spending, maintaining the technology roadmap for software-defined vehicles and edge AI [2][4]. The Freescale acquisition in 2015 was a bold $11.8B bet that transformed the company, and the subsequent divestiture of the MEMS sensor business demonstrates willingness to prune and focus. However, capital allocation primarily favors share buybacks and dividends (34.61% payout ratio) alongside R&amp;D — a balanced approach rather than the pattern of costly long-term bets at the expense of near-term earnings that Sinek identifies as courageous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NXP is the premier pure-play automotive semiconductor company, benefiting from the structural transition to software-defined vehicles that increases semiconductor content from ~$400 to $1,000+ per car. Q2 2026 revenue of $3.5B (up 19% YoY) demonstrates broad-based recovery across all end markets, with non-GAAP operating margin of 35.1% and EPS of $3.61 exceeding guidance [2]. The forward P/E of 13.4 and PEG of 0.70 represent compelling value for a company with 22.56% profit margins, 27.92% ROE, and reaffirmed double-digit growth targets through 2027 [3]. The physical AI opportunity positions NXP at the intersection of automotive, industrial automation, and robotics — markets where edge processing must happen locally due to latency, safety, and connectivity constraints. The eIQ Agentic AI Framework creates a software moat on top of NXP's hardware, increasing customer switching costs. D/E of 93% is manageable for a semiconductor manufacturer, and the 1.81% dividend yield with 34.61% payout ratio provides income while waiting for growth re-acceleration [3].</w:t>
      </w:r>
    </w:p>
    <w:p>
      <w:pPr>
        <w:spacing w:after="120"/>
      </w:pPr>
      <w:r>
        <w:rPr>
          <w:rFonts w:ascii="Calibri" w:hAnsi="Calibri"/>
          <w:b w:val="0"/>
          <w:color w:val="3A4A28"/>
          <w:sz w:val="20"/>
        </w:rPr>
        <w:t>The primary risk is automotive end-market concentration — approximately 50% of NXP's revenue depends on global vehicle production volumes and OEM semiconductor spending cycles. The 2024 inventory correction demonstrated this vulnerability, with revenue declining before the current recovery [3]. While the software-defined vehicle trend is secular, it could slow if OEMs face margin pressure and defer EV/ADAS content additions. Competition from NVIDIA and Qualcomm in automotive computing threatens NXP's higher-end processing business — these competitors bring AI software ecosystems that NXP cannot match at scale [4][5]. Revenue 5yr CAGR of only 8% reflects the cyclicality that depresses long-term growth averages despite strong current momentum. The CEO transition to Sotomayor (October 2025) introduces execution risk as the new leader establishes strategic priorities and relationships. Trade tensions between the U.S., EU, and China could disrupt NXP's global supply chain and customer base, particularly as the Netherlands-headquartered company navigates export control regimes targeting semiconductor technology.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Software-defined vehicle transition driving automotive semiconductor content growth from ~$400 to $1,000+ per vehicle, with NXP's #1 position in automotive MCUs, radar processing, and secure car access capturing disproportionate share of this secular trend [1][2]</w:t>
      </w:r>
    </w:p>
    <w:p>
      <w:pPr>
        <w:spacing w:before="40" w:after="40"/>
        <w:ind w:left="283"/>
      </w:pPr>
      <w:r>
        <w:rPr>
          <w:rFonts w:ascii="Calibri" w:hAnsi="Calibri"/>
          <w:b/>
          <w:color w:val="4A6B25"/>
          <w:sz w:val="20"/>
        </w:rPr>
        <w:t xml:space="preserve">2. </w:t>
      </w:r>
      <w:r>
        <w:rPr>
          <w:rFonts w:ascii="Calibri" w:hAnsi="Calibri"/>
          <w:b w:val="0"/>
          <w:color w:val="3A4A28"/>
          <w:sz w:val="20"/>
        </w:rPr>
        <w:t>Q2 2026 revenue growth of 19% across all end markets with 35.1% non-GAAP operating margin — management reaffirmed double-digit growth and margin expansion targets for both 2026 and 2027, supported by automotive and physical AI demand [2]</w:t>
      </w:r>
    </w:p>
    <w:p>
      <w:pPr>
        <w:spacing w:before="40" w:after="40"/>
        <w:ind w:left="283"/>
      </w:pPr>
      <w:r>
        <w:rPr>
          <w:rFonts w:ascii="Calibri" w:hAnsi="Calibri"/>
          <w:b/>
          <w:color w:val="4A6B25"/>
          <w:sz w:val="20"/>
        </w:rPr>
        <w:t xml:space="preserve">3. </w:t>
      </w:r>
      <w:r>
        <w:rPr>
          <w:rFonts w:ascii="Calibri" w:hAnsi="Calibri"/>
          <w:b w:val="0"/>
          <w:color w:val="3A4A28"/>
          <w:sz w:val="20"/>
        </w:rPr>
        <w:t>Forward PEG of 0.70 at a forward P/E of 13.4 represents compelling value for a company with 27.92% ROE, 22.56% profit margins, and structural growth tailwinds — significant re-rating potential if the automotive semiconductor cycle sustains recovery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Automotive concentration (~50% of revenue) exposes NXP to OEM production cycles and inventory corrections — the 2024 downturn demonstrated that even secular growth markets are subject to cyclical disruptions that compress revenue and margins [3]</w:t>
      </w:r>
    </w:p>
    <w:p>
      <w:pPr>
        <w:spacing w:before="40" w:after="40"/>
        <w:ind w:left="283"/>
      </w:pPr>
      <w:r>
        <w:rPr>
          <w:rFonts w:ascii="Calibri" w:hAnsi="Calibri"/>
          <w:b/>
          <w:color w:val="4A6B25"/>
          <w:sz w:val="20"/>
        </w:rPr>
        <w:t xml:space="preserve">2. </w:t>
      </w:r>
      <w:r>
        <w:rPr>
          <w:rFonts w:ascii="Calibri" w:hAnsi="Calibri"/>
          <w:b w:val="0"/>
          <w:color w:val="3A4A28"/>
          <w:sz w:val="20"/>
        </w:rPr>
        <w:t>NVIDIA and Qualcomm expanding into automotive computing with superior AI software ecosystems (CUDA, Snapdragon Ride) that could erode NXP's position in higher-end automotive processing and ADAS applications [4][5]</w:t>
      </w:r>
    </w:p>
    <w:p>
      <w:pPr>
        <w:spacing w:before="40" w:after="40"/>
        <w:ind w:left="283"/>
      </w:pPr>
      <w:r>
        <w:rPr>
          <w:rFonts w:ascii="Calibri" w:hAnsi="Calibri"/>
          <w:b/>
          <w:color w:val="4A6B25"/>
          <w:sz w:val="20"/>
        </w:rPr>
        <w:t xml:space="preserve">3. </w:t>
      </w:r>
      <w:r>
        <w:rPr>
          <w:rFonts w:ascii="Calibri" w:hAnsi="Calibri"/>
          <w:b w:val="0"/>
          <w:color w:val="3A4A28"/>
          <w:sz w:val="20"/>
        </w:rPr>
        <w:t>Revenue 5yr CAGR of only 8% understates growth potential but also reflects genuine cyclicality — investors expecting smooth double-digit growth may face disappointment in the next downturn, compressing the valuation multiple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NXP manufactures physical semiconductor chips that go into cars, industrial equipment, IoT devices, and 5G infrastructure — tangible hardware that AI cannot replace [1][2]. Software-defined vehicles require more semiconductor content per vehicle ($400 to $1,000+ per car), creating secular demand growth that AI accelerates rather than threatens. NXP's automotive-grade chips require extensive qualification cycles (2-3 years) and safety certifications (ISO 26262) that create deep switching costs. However, larger AI chip companies (NVIDIA, Qualcomm) are expanding into automotive computing, potentially competing with NXP's higher-end automotive processing products. The edge AI trend could also shift some processing from NXP's MCUs to more powerful AI-capable processors from competitors. AI Opportunity (1/1): eIQ Agentic AI Framework enables edge AI inference directly on NXP processors, targeting automotive ADAS, industrial automation, robotics, and smart buildings [5]. CEO Sotomayor explicitly identifies physical AI as a 'core growth driver' with growing revenue from AI-enabled automotive and industrial edge products [5]. The company's edge AI portfolio generates quantifiable revenue through automotive processing and industrial IoT chips that enable AI applications.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NXP Semiconductors Q1 2026 Earnings Release — NXP IR, April 2026</w:t>
      </w:r>
    </w:p>
    <w:p>
      <w:pPr>
        <w:spacing w:before="20" w:after="20"/>
        <w:ind w:left="170"/>
      </w:pPr>
      <w:r>
        <w:rPr>
          <w:rFonts w:ascii="Calibri" w:hAnsi="Calibri"/>
          <w:b/>
          <w:color w:val="4A6B25"/>
          <w:sz w:val="15"/>
        </w:rPr>
        <w:t xml:space="preserve">2. </w:t>
      </w:r>
      <w:r>
        <w:rPr>
          <w:rFonts w:ascii="Calibri" w:hAnsi="Calibri"/>
          <w:b w:val="0"/>
          <w:color w:val="3A4A28"/>
          <w:sz w:val="17"/>
        </w:rPr>
        <w:t>NXP Semiconductors Q2 2026 Earnings Release — NXP IR, July 2026</w:t>
      </w:r>
    </w:p>
    <w:p>
      <w:pPr>
        <w:spacing w:before="20" w:after="20"/>
        <w:ind w:left="170"/>
      </w:pPr>
      <w:r>
        <w:rPr>
          <w:rFonts w:ascii="Calibri" w:hAnsi="Calibri"/>
          <w:b/>
          <w:color w:val="4A6B25"/>
          <w:sz w:val="15"/>
        </w:rPr>
        <w:t xml:space="preserve">3. </w:t>
      </w:r>
      <w:r>
        <w:rPr>
          <w:rFonts w:ascii="Calibri" w:hAnsi="Calibri"/>
          <w:b w:val="0"/>
          <w:color w:val="3A4A28"/>
          <w:sz w:val="17"/>
        </w:rPr>
        <w:t>StockAnalysis — NXPI Key Statistics and Financial Data,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NXP at Technology Leadership Forum 2026 — Recovery, AI, and Margins, Investing.com, 2026</w:t>
      </w:r>
    </w:p>
    <w:p>
      <w:pPr>
        <w:spacing w:before="20" w:after="20"/>
        <w:ind w:left="170"/>
      </w:pPr>
      <w:r>
        <w:rPr>
          <w:rFonts w:ascii="Calibri" w:hAnsi="Calibri"/>
          <w:b/>
          <w:color w:val="4A6B25"/>
          <w:sz w:val="15"/>
        </w:rPr>
        <w:t xml:space="preserve">5. </w:t>
      </w:r>
      <w:r>
        <w:rPr>
          <w:rFonts w:ascii="Calibri" w:hAnsi="Calibri"/>
          <w:b w:val="0"/>
          <w:color w:val="3A4A28"/>
          <w:sz w:val="17"/>
        </w:rPr>
        <w:t>NXP Semiconductors CEO Sotomayor on Physical AI — Meyka, 2026</w:t>
      </w:r>
    </w:p>
    <w:p>
      <w:pPr>
        <w:spacing w:before="20" w:after="20"/>
        <w:ind w:left="170"/>
      </w:pPr>
      <w:r>
        <w:rPr>
          <w:rFonts w:ascii="Calibri" w:hAnsi="Calibri"/>
          <w:b/>
          <w:color w:val="4A6B25"/>
          <w:sz w:val="15"/>
        </w:rPr>
        <w:t xml:space="preserve">6. </w:t>
      </w:r>
      <w:r>
        <w:rPr>
          <w:rFonts w:ascii="Calibri" w:hAnsi="Calibri"/>
          <w:b w:val="0"/>
          <w:color w:val="3A4A28"/>
          <w:sz w:val="17"/>
        </w:rPr>
        <w:t>NXP Sustainability Report and ESG Performance — nxp.com,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NXPI Key Statistics,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