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OCGN</w:t>
      </w:r>
      <w:r>
        <w:rPr>
          <w:rFonts w:ascii="Calibri" w:hAnsi="Calibri"/>
          <w:b/>
          <w:color w:val="1A2010"/>
          <w:sz w:val="40"/>
        </w:rPr>
        <w:t xml:space="preserve">  Ocugen, Inc.</w:t>
      </w:r>
    </w:p>
    <w:p>
      <w:pPr>
        <w:spacing w:after="120"/>
      </w:pPr>
      <w:r>
        <w:rPr>
          <w:rFonts w:ascii="Calibri" w:hAnsi="Calibri"/>
          <w:b/>
          <w:color w:val="6E8450"/>
          <w:sz w:val="18"/>
        </w:rPr>
        <w:t>GROWTH SLEEVE · 2026-10-16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Ocugen is a clinical-stage biopharmaceutical company developing gene and cell therapies for retinal diseases including retinitis pigmentosa, Leber congenital amaurosis, Stargardt disease, and dry age-related macular degeneration. The modifier gene therapy platform is designed to address multiple genetic mutations with a single therapy. Q2 2026 revenue of $1.49M (+8.4% YoY) from collaboration and grant funding, with net losses widening to $19.2M as R&amp;D spending climbed to $11.3M. Cash position of $100.4M after the $130M convertible notes offering. Stock has declined from ~$15 (2021 peak) to $0.81, raising NASDAQ minimum bid compliance concerns.</w:t>
      </w:r>
    </w:p>
    <w:p>
      <w:r>
        <w:rPr>
          <w:rFonts w:ascii="Calibri" w:hAnsi="Calibri"/>
          <w:b/>
          <w:color w:val="6E8450"/>
          <w:sz w:val="18"/>
        </w:rPr>
        <w:t>116 Employees · https://www.ocugen.com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Ocugen has pivoted multiple times in five years — from the Histogen merger (stem cell therapies) to COVID-19 vaccine commercialization (Covaxin with Bharat Biotech) and now to modifier gene therapy for retinal diseases [1]. The Covaxin effort failed commercially without achieving FDA approval, and no product has reached commercialization after 12+ years of development. The gene therapy platform is genuinely novel but unproven commercially. AI Deployment (0/2): No AI-powered products shipping and no AI-driven cost savings reported; the company has not articulated an AI strategy [2]. Market Share (0/2): Ocugen has no commercial products and zero market share in any category, remaining entirely pre-commercial with all candidates in clinical development [1]. Product Pipeline (1/2): OCU400 Phase 3 liMeliGhT trial enrollment complete (140 patients) with topline data expected Q1 2027, OCU410 targets geographic atrophy/dry AMD, OCU410ST in Phase 2/3 GARDian3 trial for Stargardt disease [1]. Three BLA submissions targeted in three years. Pipeline has specific candidates but all remain subject to clinical trial outcomes with no FDA filing yet made. R&amp;D Intensity (1/1): R&amp;D spending of $11.3M in Q2 constitutes the vast majority of operating expenses against just $1.49M revenue, placing R&amp;D intensity far above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Ocugen's stated purpose — curing blindness through courageous innovation in gene therapy — is clear and specific, connecting the company's work to a meaningful humanitarian goal [2]. However, the mission has not been validated through sustained execution; the company's frequent strategic pivots (stem cells to COVID vaccines to gene therapy) undermine the sense that this cause has been consistently lived over time. Community Impact (0/2): No evidence of significant charitable programs, community investments, or foundation activities was identified. As a 116-person pre-revenue biotech, resources for community engagement are limited. Employee Retention (0/2): Employee reviews cite 'poor culture and leadership' and 'no transparency from upper management,' signaling retention challenges rather than mission-driven loyalty [3]. For a 116-person company where every employee matters for clinical execution, these cultural signals are particularly concerning. Insider Buying (0/2): No evidence of meaningful net insider buying by CEO Shankar Musunuri or other executives was identified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Ocugen's financial profile reflects a clinical-stage biotech burning cash with minimal revenue. Stockholders' equity is negative (book value -$0.05/share), rendering D/E and ROE undefined — the underlying reality is ~$88M debt against negative equity with deeply negative returns [1]. Profit margin is approximately -1500% ($4.58M TTM revenue against ~$70M annualized net losses), scoring 0. The only positive component is revenue growth YoY of 8.4% (Q2 2026 revenue of $1.49M), scoring 0.95 [1]. Forward P/E is negative (-3.2x) reflecting expected continued losses, excluded from scoring. PEG ratio and 5-year revenue CAGR are unavailable for a pre-commercial biotech. Cash position of $100.4M extends runway into 2028, the sole bright spot on the balance sheet [1]. Liquidity floor barely cleared at approximately $5.0M daily dollar volume (6.2M shares x $0.81).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Ocugen displays a largely finite game posture despite an inherently purposeful mission of curing blindness. The company has pivoted strategy three times in five years (stem cells, COVID vaccines, gene therapy), suggesting opportunistic decision-making rather than a consistent Just Cause guiding long-term strategy. Employee reviews indicating poor culture and management transparency signal significant trust deficits. The gene therapy focus shows some conviction, but the pattern of pivots, weak employee culture, and finite competitive language place the company firmly in the FINITE category under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Curing blindness through gene therapy is a compelling purpose, but Ocugen's track record suggests the cause is more recent positioning than deeply held conviction [1]. The company pursued COVID vaccine commercialization (Covaxin) as a primary strategy in 2021-2022, pivoting to gene therapy only after that effort failed. CEO Musunuri's stated goal to 'bring gene therapy to the masses' is aspirational but has not been tested through sustained execution. A genuine Just Cause would have persisted through market cycles; Ocugen's pivots suggest strategy follows opportunity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citing 'poor culture and leadership' and 'too much mysterious upper management with no transparency' indicate a low-trust environment [3]. For a 116-person company where employees should have direct access to leadership, these signals are particularly concerning. The company has added new executives (CFO Rita Johnson-Greene, CDO Vijay Tammara, CBO Abhi Gupta) to strengthen the team, but the underlying cultural concerns have not been resolved [2]. Sinek's Circle of Safety has not been established.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Ocugen's leadership acknowledging competitors' strengths or framing competition as motivation for self-improvement. The company's competitive language centers on its own 'first-in-industry' gene-agnostic positioning rather than engaging with what Spark Therapeutics/Roche (Luxturna), AGTC, or GenSight do well [1]. This 'we are unique' framing reflects 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Ocugen has demonstrated willingness to abandon failing strategies — pivoting from Covaxin COVID-19 vaccine commercialization to gene therapy for retinal diseases when the vaccine path proved unviable [1]. This represents meaningful strategic adaptation. However, the pivot was driven by necessity (Covaxin never received FDA approval) rather than a proactive, cause-driven decision. The change was a lateral move from one biotech focus to another,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Musunuri has maintained focus on the gene therapy pipeline through 12+ years of pre-revenue operations, investing heavily in R&amp;D ($11.3M in Q2 alone) despite the stock declining from $15+ to $0.81 [1]. The $130M convertible notes offering to extend cash runway into 2028 shows willingness to accept debt and dilution risk to fund long-term R&amp;D. Recent executive hires (Abhi Gupta from Pfizer's $5.5B gene therapy portfolio) demonstrate commitment to building clinical capabilities [2]. However, these actions appear pragmatic survival decisions rather than courageous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Ocugen's modifier gene therapy platform represents a genuinely innovative gene-agnostic approach to treating inherited retinal diseases — a single therapy (OCU400) addressing multiple genetic mutations, potentially first-in-class [1]. The OCU400 Phase 3 liMeliGhT trial enrollment is complete (140 patients) with topline data expected Q1 2027, representing the key near-term catalyst. Three BLA submissions are targeted over three years, with recently hired executive talent from Pfizer's $5.5B gene therapy franchise strengthening execution capability [2]. Cash position of $100.4M extends runway into 2028, removing near-term survival risk. Gene therapies command $1-4M per patient pricing, meaning even modest market penetration across retinitis pigmentosa, Stargardt disease, and dry AMD indications could generate transformative revenue. The Inspire ALIGNED score (30) is a positive differentiator for faith-based investors.</w:t>
      </w:r>
    </w:p>
    <w:p>
      <w:pPr>
        <w:spacing w:after="120"/>
      </w:pPr>
      <w:r>
        <w:rPr>
          <w:rFonts w:ascii="Calibri" w:hAnsi="Calibri"/>
          <w:b w:val="0"/>
          <w:color w:val="3A4A28"/>
          <w:sz w:val="20"/>
        </w:rPr>
        <w:t>The bear case is substantial for a pre-commercial biotech with $4.58M TTM revenue against approximately $70M annual cash burn [1]. The stock at $0.81 carries acute NASDAQ minimum bid compliance risk, and the $276M market cap sits on zero commercial revenue. The $130M convertible notes (6.75% coupon, due 2034) create $8.8M annual interest expense and conversion at depressed prices would be massively dilutive to existing shareholders — shares outstanding appear to have more than doubled from the August 2026 assessment. Binary clinical risk dominates: Phase 3 failure for OCU400 would be devastating given the concentrated pipeline. Employee reviews citing poor culture and management transparency signal organizational dysfunction in a 116-person company where every employee matters for clinical execution [3]. The company's history of strategic pivots (Histogen, Covaxin, gene therapy) raises execution credibility concerns. Net losses widening to $19.2M in Q2 (from $15.4M prior year) despite minimal revenue growth indicate accelerating cash consumption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OCU400 Phase 3 liMeliGhT trial topline data readout expected Q1 2027 — the pivotal binary catalyst that could validate the gene-agnostic platform and unlock BLA filing for inherited retinal diseases [1]</w:t>
      </w:r>
    </w:p>
    <w:p>
      <w:pPr>
        <w:spacing w:before="40" w:after="40"/>
        <w:ind w:left="283"/>
      </w:pPr>
      <w:r>
        <w:rPr>
          <w:rFonts w:ascii="Calibri" w:hAnsi="Calibri"/>
          <w:b/>
          <w:color w:val="4A6B25"/>
          <w:sz w:val="20"/>
        </w:rPr>
        <w:t xml:space="preserve">2. </w:t>
      </w:r>
      <w:r>
        <w:rPr>
          <w:rFonts w:ascii="Calibri" w:hAnsi="Calibri"/>
          <w:b w:val="0"/>
          <w:color w:val="3A4A28"/>
          <w:sz w:val="20"/>
        </w:rPr>
        <w:t>OCU410ST Phase 2/3 GARDian3 trial for Stargardt disease progressing, targeting a condition with zero FDA-approved treatments, potentially expanding the addressable market beyond rare retinitis pigmentosa [1]</w:t>
      </w:r>
    </w:p>
    <w:p>
      <w:pPr>
        <w:spacing w:before="40" w:after="40"/>
        <w:ind w:left="283"/>
      </w:pPr>
      <w:r>
        <w:rPr>
          <w:rFonts w:ascii="Calibri" w:hAnsi="Calibri"/>
          <w:b/>
          <w:color w:val="4A6B25"/>
          <w:sz w:val="20"/>
        </w:rPr>
        <w:t xml:space="preserve">3. </w:t>
      </w:r>
      <w:r>
        <w:rPr>
          <w:rFonts w:ascii="Calibri" w:hAnsi="Calibri"/>
          <w:b w:val="0"/>
          <w:color w:val="3A4A28"/>
          <w:sz w:val="20"/>
        </w:rPr>
        <w:t>Executive talent additions — CBO Abhi Gupta (built Pfizer's $5.5B gene therapy portfolio) and CDO Vijay Tammara strengthen commercial and clinical capabilities for the three targeted BLA submissions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clinical trial risk — OCU400 failure would devastate the investment thesis given that virtually all of the $276M market cap is pipeline value with zero commercial revenue streams [1]</w:t>
      </w:r>
    </w:p>
    <w:p>
      <w:pPr>
        <w:spacing w:before="40" w:after="40"/>
        <w:ind w:left="283"/>
      </w:pPr>
      <w:r>
        <w:rPr>
          <w:rFonts w:ascii="Calibri" w:hAnsi="Calibri"/>
          <w:b/>
          <w:color w:val="4A6B25"/>
          <w:sz w:val="20"/>
        </w:rPr>
        <w:t xml:space="preserve">2. </w:t>
      </w:r>
      <w:r>
        <w:rPr>
          <w:rFonts w:ascii="Calibri" w:hAnsi="Calibri"/>
          <w:b w:val="0"/>
          <w:color w:val="3A4A28"/>
          <w:sz w:val="20"/>
        </w:rPr>
        <w:t>NASDAQ minimum bid compliance risk at $0.81 share price — falling below $1.00 for 30 consecutive trading days triggers delisting proceedings that would severely impair liquidity and institutional ownership [1]</w:t>
      </w:r>
    </w:p>
    <w:p>
      <w:pPr>
        <w:spacing w:before="40" w:after="40"/>
        <w:ind w:left="283"/>
      </w:pPr>
      <w:r>
        <w:rPr>
          <w:rFonts w:ascii="Calibri" w:hAnsi="Calibri"/>
          <w:b/>
          <w:color w:val="4A6B25"/>
          <w:sz w:val="20"/>
        </w:rPr>
        <w:t xml:space="preserve">3. </w:t>
      </w:r>
      <w:r>
        <w:rPr>
          <w:rFonts w:ascii="Calibri" w:hAnsi="Calibri"/>
          <w:b w:val="0"/>
          <w:color w:val="3A4A28"/>
          <w:sz w:val="20"/>
        </w:rPr>
        <w:t>Accelerating cash burn ($19.2M net loss in Q2, up from $15.4M) with $130M convertible debt (6.75%, due 2034) creating $8.8M annual interest expense and massive potential dilution on a stock that has already declined 95% from 2021 highs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Ocugen's core business — developing gene therapies for inherited retinal diseases — operates in a domain with strong structural protection from AI disruption [2]. Gene therapy requires physical manufacturing of viral vectors, clinical trial execution with human subjects, FDA regulatory approval pathways, and surgical subretinal injection delivery. These are deeply physical, biological, and regulated processes where AI serves as a tool (drug discovery acceleration, clinical data analysis) rather than a substitute. Orphan drug designations provide additional regulatory moats. However, AI-driven drug discovery platforms at larger competitors could accelerate rival gene therapy development, compressing Ocugen's window for first-mover advantage. Scored PROTECTED rather than IMMUNE because the company is not building AI infrastructure and doesn't directly benefit from AI demand growth. AI Opportunity (0/1): Ocugen generates no revenue from AI products or services and has not disclosed any AI-related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Ocugen Q2 2026 Business Update and SEC 10-Q — Revenue $1.49M (+8.4% YoY), Net Loss $19.2M (vs $15.4M Prior Year), R&amp;D $11.3M, Cash $100.4M, $130M Convertible Notes, OCU400 Phase 3 Complete Enrollment, August 2026</w:t>
      </w:r>
    </w:p>
    <w:p>
      <w:pPr>
        <w:spacing w:before="20" w:after="20"/>
        <w:ind w:left="170"/>
      </w:pPr>
      <w:r>
        <w:rPr>
          <w:rFonts w:ascii="Calibri" w:hAnsi="Calibri"/>
          <w:b/>
          <w:color w:val="4A6B25"/>
          <w:sz w:val="15"/>
        </w:rPr>
        <w:t xml:space="preserve">2. </w:t>
      </w:r>
      <w:r>
        <w:rPr>
          <w:rFonts w:ascii="Calibri" w:hAnsi="Calibri"/>
          <w:b w:val="0"/>
          <w:color w:val="3A4A28"/>
          <w:sz w:val="17"/>
        </w:rPr>
        <w:t>Ocugen Leadership and Pipeline — CEO Shankar Musunuri, New CFO Rita Johnson-Greene, CDO Vijay Tammara, CBO Abhi Gupta (ex-Pfizer $5.5B Gene Therapy), Three BLAs in Three Years Target, Modifier Gene Therapy Platform — Ocugen.com, OphthalmologyTimes, 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Ocugen ESG and Controversies — FDA Noncompliance Notice (ClinicalTrials.gov Reporting 2022), Covaxin Clinical Hold, Bharat Biotech Partner Controversies, Securities Class Action (2021), Employee Culture Concerns — SEC, Motley Fool, Glassdoor,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