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OII</w:t>
      </w:r>
      <w:r>
        <w:rPr>
          <w:rFonts w:ascii="Calibri" w:hAnsi="Calibri"/>
          <w:b/>
          <w:color w:val="1A2010"/>
          <w:sz w:val="40"/>
        </w:rPr>
        <w:t xml:space="preserve">  Oceaneering International, Inc.</w:t>
      </w:r>
    </w:p>
    <w:p>
      <w:pPr>
        <w:spacing w:after="120"/>
      </w:pPr>
      <w:r>
        <w:rPr>
          <w:rFonts w:ascii="Calibri" w:hAnsi="Calibri"/>
          <w:b/>
          <w:color w:val="6E8450"/>
          <w:sz w:val="18"/>
        </w:rPr>
        <w:t>GROWTH SLEEVE · 2026-09-25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Oceaneering International provides engineered services and products, including remotely operated vehicles (ROVs), subsea robotics, manufactured products, and aerospace/defense technology solutions. The company serves offshore energy, defense, aerospace, manufacturing, and entertainment industries globally. Oceaneering operates the world's largest ROV fleet and has diversified into AI-powered predictive maintenance, autonomous underwater systems, and defense technology. Q2 2026 revenue grew 10% to $768M with net income up 19% to $65M, and Q3 EBITDA is guided to $115-125M.</w:t>
      </w:r>
    </w:p>
    <w:p>
      <w:r>
        <w:rPr>
          <w:rFonts w:ascii="Calibri" w:hAnsi="Calibri"/>
          <w:b/>
          <w:color w:val="6E8450"/>
          <w:sz w:val="18"/>
        </w:rPr>
        <w:t>11,100 Employees · https://www.oceaneering.com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Oceaneering has diversified beyond pure offshore energy into aerospace/defense technology (ADTech growing 35% in Q1 2026) and integrated AI capabilities through the 2024 acquisition of Global Design Innovation Ltd., but the core business remains subsea ROV operations — meaningful evolution rather than transformative reinvention [1]. AI Deployment (1/2): The company deploys AI-powered predictive maintenance systems and autonomous navigation for underwater vehicles through the Global Design Innovation integration, and selected Oracle Fusion Cloud with embedded AI for enterprise operations [1][2]. These are shipping to customers and generating operational value, though specific AI revenue has not been separately quantified. Market Share (2/2): Oceaneering is the global leader in ROV fleet size and subsea robotics, with Q2 2026 Subsea Robotics revenue of $211M and dominant market position in deepwater operations [1]. The company's ROV fleet is the world's largest, giving it unmatched scale advantages. Product Pipeline (1/2): ADTech defense segment has secured major contracts with continued strong awards; Manufactured Products margins improved to 18%; and FY2026 guidance raised after Q2 with EBITDA targeted at $390-440M [1]. R&amp;D Intensity (1/1): R&amp;D spending at approximately 6% of revenue is above the oil services industry average, supporting autonomous systems development and digital twin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Oceaneering's vision of 'solving the unsolvable' in extreme environments is energizing and distinctive relative to oilfield services peers, with Glassdoor reviews referencing an 'audacious vision' — but it describes an engineering capability rather than a purpose that transcends industry or articulates a future state the company is building toward [2]. Community Impact (1/2): The company employs 11,100 people globally, maintains formal ethics and compliance programs, and publishes sustainability reporting through its Governance and Sustainability Committee, but no distinctive charitable foundation or community investment programs with specific dollar amounts were identified [3]. Employee Retention (2/2): Strong employee satisfaction — Glassdoor rating of 4.0/5.0 with approximately 80% of employees recommending the company; reviews highlight 'strong executive leadership,' 'wonderful culture,' and 'vibrant' organizational energy; CEO Rod Larson's 11+ year tenure provides leadership stability [2]. Insider Buying (0/2): No evidence of meaningful net insider buying. Prior research identified significant net insider selling in early 2026 across multiple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on available metrics. Q2 2026 delivered revenue of $768M (up 10% YoY), operating income up 11% to $88.2M, net income up 19% to $65M, and EBITDA of $115M [1]. D/E of 70.3% scores 1.0 (at the 70% target threshold). ROE of 34.6% scores 1.0 at 2x weight, reflecting excellent capital efficiency [1]. Revenue growth YoY of 10% scores 1.0 (at target). Estimated 5yr revenue CAGR of ~9% scores 0.93 at 2x weight. Forward P/E of 20.1x scores 1.0 (at the 20x target boundary). Profit margin of 12.2% scores 0.61 (below 20% target, reflecting capital-intensive subsea operations). Forward PEG excluded as unavailable. Weighted sum 7.47/8 = Infrastructure 9. Liquidity check passed: 1.07M avg volume x $46.67 = $50M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Oceaneering under CEO Larson (11+ year tenure) demonstrates steady long-term focus on maintaining global subsea robotics leadership while diversifying into defense and AI-powered autonomous systems. The company navigated the brutal 2015-2020 offshore downturn by investing in ROV technology and adjacent markets, showing genuine long-term thinking. However, 'solving the unsolvable' is an engineering ethos rather than a Sinek-level Just Cause, and the company's trajectory is shaped more by industry cycles than an internal vision of a better future. Sustainalytics rates ESG management as average, noting the company has not changed its perspective on ESG despite diverging public discourse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Oceaneering's 'solving the unsolvable' vision is energizing and creates genuine employee identification (Glassdoor reviews reference 'audacious vision'), but it describes an engineering capability rather than a Just Cause in Sinek's terms [2]. The company exists to serve offshore energy and defense customers with engineered solutions — valuable work, but it doesn't articulate a vision of a future state worth sacrificing for.</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Strong trust indicators — Glassdoor rating of 4.0/5.0 with approximately 80% recommendation rate, reviews citing 'strong leadership,' 'wonderful culture,' and 'vibrant' organization [2]. CEO Larson's 11+ year tenure and promotion of leaders internally demonstrates organizational stability and career development. The company's ability to retain specialized ROV operators and subsea engineers through severe industry downturns suggests genuine employee loyalty. Some reviews note internal bureaucracy ('slow to adapt internally'), which is normal for a 11,100-person global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Oceaneering's competitive language focuses on market leadership, dominant ROV fleet size, and technological capability rather than acknowledging what it can learn from competitors like TechnipFMC, Subsea 7, or emerging autonomous underwater vehicle companies [1]. The framing is about being the largest and most capable — 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Oceaneering has demonstrated meaningful strategic evolution — diversifying from pure offshore energy into aerospace/defense technology (ADTech growing 35%), entertainment, and AI-powered autonomous systems while maintaining the subsea core [1]. Navigating the 2015-2020 offshore downturn without collapse and emerging with new capabilities shows adaptive capacity. However, these are incremental diversifications rather than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Larson maintained R&amp;D investment (~6% of revenue) and strategic diversification during the severe 2015-2020 offshore downturn, when peers were retrenching and cutting capabilities [1]. The company raised FY2026 guidance after Q2 2026, with Q3 EBITDA guided to $115-125M. The decision to prioritize business resiliency over ESG accolades despite diverging public discourse shows principled independence [3]. However, heavy insider selling across multiple executives in early 2026 creates tension with the long-term investment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Oceaneering International delivered strong Q2 2026 results — revenue of $768M (up 10% YoY), net income up 19% to $65M, and EBITDA of $115M, with Q3 guided to $115-125M reflecting continued momentum [1]. The global ROV leader is firing on all cylinders with improving margins, strengthening balance sheet (D/E of 70.3%), and diversification momentum as ADTech defense delivers 35% growth. ROE of 34.6% demonstrates excellent capital efficiency, and FY2026 guidance of $390-440M EBITDA with $100-120M FCF provides clear visibility. At 13.5x trailing P/E and 20.1x forward P/E, the stock has re-rated from ~$30 to ~$47 on the strength of earnings expansion and offshore cycle durability. Oceaneering's structural competitive advantages in physically irreplaceable subsea and defense operations are difficult to replicate.</w:t>
      </w:r>
    </w:p>
    <w:p>
      <w:pPr>
        <w:spacing w:after="120"/>
      </w:pPr>
      <w:r>
        <w:rPr>
          <w:rFonts w:ascii="Calibri" w:hAnsi="Calibri"/>
          <w:b w:val="0"/>
          <w:color w:val="3A4A28"/>
          <w:sz w:val="20"/>
        </w:rPr>
        <w:t>The bear case centers on the significant stock price appreciation (+57% from August levels) and cyclical exposure. At $46.67 and 20.1x forward P/E, Oceaneering is no longer trading at a value discount — the forward multiple is at the 20x target boundary, and any earnings disappointment could trigger a correction [1]. The offshore energy cycle remains the fundamental risk — any sustained decline in deepwater spending would compress the largest revenue segments. Q1 2026 showed operating margin compression before Q2's recovery, highlighting sensitivity to project timing. Profit margin of 12.2% remains well below the 20% target, reflecting the capital-intensive nature of subsea operations. Heavy insider selling across multiple executives in early 2026 is a concerning signal, particularly given the subsequent stock price appreciation. Sustainalytics rates ESG risk management as average, and the company's significant exposure to fossil fuel operations creates ESG-related capital market access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ADTech defense segment scaling — 35% revenue growth, major defense contracts, and increasing defense budgets provide counter-cyclical diversification and margin expansion potential against energy cycle volatility [1]</w:t>
      </w:r>
    </w:p>
    <w:p>
      <w:pPr>
        <w:spacing w:before="40" w:after="40"/>
        <w:ind w:left="283"/>
      </w:pPr>
      <w:r>
        <w:rPr>
          <w:rFonts w:ascii="Calibri" w:hAnsi="Calibri"/>
          <w:b/>
          <w:color w:val="4A6B25"/>
          <w:sz w:val="20"/>
        </w:rPr>
        <w:t xml:space="preserve">2. </w:t>
      </w:r>
      <w:r>
        <w:rPr>
          <w:rFonts w:ascii="Calibri" w:hAnsi="Calibri"/>
          <w:b w:val="0"/>
          <w:color w:val="3A4A28"/>
          <w:sz w:val="20"/>
        </w:rPr>
        <w:t>AI-powered autonomous ROV and predictive maintenance capabilities (from 2024 Global Design Innovation acquisition) differentiating Oceaneering's service offering and enabling premium pricing in subsea operations [1][2]</w:t>
      </w:r>
    </w:p>
    <w:p>
      <w:pPr>
        <w:spacing w:before="40" w:after="40"/>
        <w:ind w:left="283"/>
      </w:pPr>
      <w:r>
        <w:rPr>
          <w:rFonts w:ascii="Calibri" w:hAnsi="Calibri"/>
          <w:b/>
          <w:color w:val="4A6B25"/>
          <w:sz w:val="20"/>
        </w:rPr>
        <w:t xml:space="preserve">3. </w:t>
      </w:r>
      <w:r>
        <w:rPr>
          <w:rFonts w:ascii="Calibri" w:hAnsi="Calibri"/>
          <w:b w:val="0"/>
          <w:color w:val="3A4A28"/>
          <w:sz w:val="20"/>
        </w:rPr>
        <w:t>Q3 2026 EBITDA guided to $115-125M (vs. $115M in Q2), signaling continued revenue acceleration and operational leverage improvement toward management's long-term margin targets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Offshore energy capex cycle reversal — a sustained decline in deepwater oil and gas spending driven by energy transition or commodity price weakness would directly compress Oceaneering's largest revenue segments and margins [1]</w:t>
      </w:r>
    </w:p>
    <w:p>
      <w:pPr>
        <w:spacing w:before="40" w:after="40"/>
        <w:ind w:left="283"/>
      </w:pPr>
      <w:r>
        <w:rPr>
          <w:rFonts w:ascii="Calibri" w:hAnsi="Calibri"/>
          <w:b/>
          <w:color w:val="4A6B25"/>
          <w:sz w:val="20"/>
        </w:rPr>
        <w:t xml:space="preserve">2. </w:t>
      </w:r>
      <w:r>
        <w:rPr>
          <w:rFonts w:ascii="Calibri" w:hAnsi="Calibri"/>
          <w:b w:val="0"/>
          <w:color w:val="3A4A28"/>
          <w:sz w:val="20"/>
        </w:rPr>
        <w:t>At $46.67 and 20.1x forward P/E, the stock has re-rated significantly from ~$30, leaving limited valuation cushion — any earnings miss or guidance reduction could trigger meaningful downside given the elevated expectations now embedded in the price</w:t>
      </w:r>
    </w:p>
    <w:p>
      <w:pPr>
        <w:spacing w:before="40" w:after="40"/>
        <w:ind w:left="283"/>
      </w:pPr>
      <w:r>
        <w:rPr>
          <w:rFonts w:ascii="Calibri" w:hAnsi="Calibri"/>
          <w:b/>
          <w:color w:val="4A6B25"/>
          <w:sz w:val="20"/>
        </w:rPr>
        <w:t xml:space="preserve">3. </w:t>
      </w:r>
      <w:r>
        <w:rPr>
          <w:rFonts w:ascii="Calibri" w:hAnsi="Calibri"/>
          <w:b w:val="0"/>
          <w:color w:val="3A4A28"/>
          <w:sz w:val="20"/>
        </w:rPr>
        <w:t>Profit margin of 12.2% remains well below the 20% infrastructure target, and ESG-related capital market access risk from fossil fuel exposure could curtail the company's financing options as institutional investors increasingly restrict oil and gas services investments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Oceaneering's core business is deeply physical — operating ROVs at ocean depths of 3,000+ meters, manufacturing subsea hardware, providing integrity management services on offshore platforms, and deploying robotics in extreme underwater environments [1]. AI cannot replace remotely operated vehicles inspecting subsea pipelines, installing subsea equipment, or performing offshore construction. The regulatory environment (offshore safety standards, defense contracting) adds structural barriers to entry. AI actually increases demand for Oceaneering's services as autonomous underwater technology and digital twin analytics enhance its competitive moat and service quality. AI Opportunity (1/1): Oceaneering generates revenue from AI-related capabilities — the 2024 Global Design Innovation acquisition brought AI-powered predictive maintenance and autonomous navigation systems deployed commercially for offshore operators, and the Oracle Fusion Cloud AI integration drives enterprise operational gains [1][2]. These capabilities contribute to service differentiation and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Oceaneering International Q2 2026 Earnings Release — Revenue $768M (+10% YoY), Net Income $65M (+19%), EBITDA $115M (+11%), Q3 Guidance EBITDA $115-125M, Raised FY2026 Guidance — Nasdaq Press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Oceaneering International Leadership and Culture — CEO Rod Larson (11+ Year Tenure), Glassdoor 4.0/5.0 (80% Recommend), 'Solving the Unsolvable' Vision, Global Design Innovation Acquisition 2024 — Glassdoor, Fortune, 2026</w:t>
      </w:r>
    </w:p>
    <w:p>
      <w:pPr>
        <w:spacing w:before="20" w:after="20"/>
        <w:ind w:left="170"/>
      </w:pPr>
      <w:r>
        <w:rPr>
          <w:rFonts w:ascii="Calibri" w:hAnsi="Calibri"/>
          <w:b/>
          <w:color w:val="4A6B25"/>
          <w:sz w:val="15"/>
        </w:rPr>
        <w:t xml:space="preserve">3. </w:t>
      </w:r>
      <w:r>
        <w:rPr>
          <w:rFonts w:ascii="Calibri" w:hAnsi="Calibri"/>
          <w:b w:val="0"/>
          <w:color w:val="3A4A28"/>
          <w:sz w:val="17"/>
        </w:rPr>
        <w:t>Oceaneering International ESG and Governance — Sustainalytics Average ESG Risk Rating, Governance &amp; Sustainability Committee Oversight, Company Stance on ESG Prioritizing Business Resiliency — Sustainalytics, SEC DEF 14A,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