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OLN</w:t>
      </w:r>
      <w:r>
        <w:rPr>
          <w:rFonts w:ascii="Calibri" w:hAnsi="Calibri"/>
          <w:b/>
          <w:color w:val="1A2010"/>
          <w:sz w:val="40"/>
        </w:rPr>
        <w:t xml:space="preserve">  Olin Corporation</w:t>
      </w:r>
    </w:p>
    <w:p>
      <w:pPr>
        <w:spacing w:after="120"/>
      </w:pPr>
      <w:r>
        <w:rPr>
          <w:rFonts w:ascii="Calibri" w:hAnsi="Calibri"/>
          <w:b/>
          <w:color w:val="6E8450"/>
          <w:sz w:val="18"/>
        </w:rPr>
        <w:t>DIVIDEND SLEEVE · 2026-09-03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Olin Corporation is a vertically integrated global manufacturer and distributor of chemical products and a leading U.S. manufacturer of ammunition. The company operates through three segments: Chlor Alkali Products and Vinyls (chlorine, caustic soda, VCM), Epoxy (resins and systems), and Winchester (ammunition and sporting products). Founded in 1892, Olin has paid 393 consecutive quarterly dividends. On August 25, 2026, shareholders approved an all-stock merger of equals with Huntsman Corporation, creating a $12.5B combined chemicals leader expected to close H1 2027. Q2 2026 revenue was $1,741.9M with a net loss of $13.3M and adjusted EBITDA of $191.3M. CEO Kenneth Lane appointed March 2024.</w:t>
      </w:r>
    </w:p>
    <w:p>
      <w:r>
        <w:rPr>
          <w:rFonts w:ascii="Calibri" w:hAnsi="Calibri"/>
          <w:b/>
          <w:color w:val="6E8450"/>
          <w:sz w:val="18"/>
        </w:rPr>
        <w:t>7,000 Employees · https://www.olin.com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No transformative products or pivots within the core business — Olin remains the same commodity chemicals and ammunition manufacturer it has been for decades. The VCM plant issues at Freeport materially reduced Chlor Alkali margins and led to lost sales in Q2 2026, demonstrating ongoing operational challenges [1]. Restructuring actions (Brazil Epoxy closure) are defensive cost-cutting, not innovation. AI Deployment (0/2): Olin is deploying artificial intelligence in chlor-alkali production for energy optimization and implementing advanced analytical tools, but no quantified AI-driven cost savings or revenue gains have been disclosed [2]. Market Share (1/2): Significant scale as one of the largest chlor-alkali producers in North America with 4.2 million tons annual capacity, and Winchester is a leading ammunition manufacturer producing 3 billion rounds annually with tariff-driven competitive advantages [1]. Meaningful player but competing in commodity markets with limited differentiation. Product Pipeline (1/2): The approved Huntsman merger provides specific visibility into strategic transformation — $12.5B combined revenue, $400M+ in identified synergies, expected H1 2027 close, with Winchester continuing as a key business [3]. While not a product launch, this is the most significant pipeline event for the company. R&amp;D Intensity (0/1): Below industry average R&amp;D spending for a diversified chemicals company; innovation comes through process optimization rather than new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Olin's corporate identity centers on manufacturing chemicals and ammunition — essential products for water treatment, industrial processes, and defense, but no distinctive purpose is articulated beyond operational efficiency and shareholder returns [4]. CEO Lane has spearheaded 'operational excellence, safety performance, and innovation' since March 2024, but this is generic industrial company positioning. Community Impact (0/2): Olin has an ESG governance committee with published sustainability scorecards and environmental targets, but no specific charitable programs or community investment with quantified dollar amounts were identified in recent public materials [4]. Employee Retention (1/2): Olin's 134-year operating history and manufacturing-based workforce of approximately 7,000 employees provide institutional stability, though Glassdoor reviews indicate the workplace culture has shifted from its historically 'family oriented' atmosphere under recent leadership changes [2]. Average retention for the industry. Insider Buying (0/2): No evidence of meaningful net insider buying by CEO Lane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Olin clears the liquidity floor with daily dollar volume of approximately $54M (3.2M shares at $17) [5]. Financial fundamentals are severely strained: D/E of 168% significantly exceeds the 70% target (score 0.574), ROE of -5.15% is below the 0% floor (score 0.0), profit margin of -1.48% is negative (score 0.0), and Forward P/E of 75x far exceeds the 60x floor (score 0.0) [5]. Revenue declined 1% YoY in Q2 2026 (score 0.633), and estimated 5-year CAGR is approximately -5% (near-floor score). The sole strong metric is 51+ consecutive years of dividend payments (score 1.0 with 2x weight), but the dividend has been flat at $0.20/quarter with 0% growth, and the payout ratio is unsustainable with negative earnings. Weighted sum of approximately 3.2 against max of 12 yields score of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Olin's 134-year operating history and 393 consecutive quarterly dividends demonstrate institutional survivability, but the current strategic posture is predominantly finite-game. The Huntsman merger represents a significant strategic bet, but it is motivated by scale, synergies, and competitive positioning rather than a Just Cause. CEO Lane's focus on 'operational excellence' and cost management is reactive to cyclical weakness rather than proactive pursuit of a long-term vision. The company manufactures essential products but does not frame this role as a purpose that transcends quarterly results.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Olin manufactures products essential to modern infrastructure — chlorine for water treatment, caustic soda for industrial processes, and Winchester ammunition for defense and sporting use [1]. These serve genuine societal needs, but the company does not articulate this as a Just Cause. Corporate messaging focuses on financial performance, capacity management, synergies from the Huntsman merger, and shareholder returns. The purpose is shallow and interchangeable with any industrial manufacturer.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indicate Olin's workplace culture has shifted from its historically 'family oriented' atmosphere, with recent leadership changes (CEO Scott Sutton departed, Kenneth Lane appointed March 2024) and restructuring creating uncertainty [2]. The pending Huntsman merger introduces additional organizational disruption as 7,000 Olin employees face integration with Huntsman's workforce. No evidence of exceptional trust or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Olin competes in commodity markets where competitive language centers on capacity utilization, pricing discipline, and market position — a finite competitive mindset focused on maintaining volume and managing supply-demand balance rather than learning from rivals to improve [1]. The Huntsman merger is framed as building scale to compete, not as learning from Huntsman's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Olin's 134-year history encompasses significant portfolio evolution — from the original Olin Industries conglomerate (including defense, metals, pharmaceuticals) to the current focused chemicals and ammunition structure. The 2015 Dow Chemical chlor-alkali acquisition was transformative, and the pending Huntsman merger represents another major strategic evolution [3]. These demonstrate willingness to reshape the company, though each shift has been incremental within the industrial chemicals domain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Huntsman merger represents a significant strategic bet — a $2.43B all-stock deal creating a $12.5B combined chemicals leader with $400M+ in identified synergies [3]. This is not a defensive move but a proactive decision to build scale and diversification during a period of cyclical weakness. Maintaining the $0.20/quarter dividend through a period of negative earnings also requires conviction, though it risks balance sheet deterioration if losses persist.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Olin at $17 with a 4.2% dividend yield, 134 years of operating history, 393 consecutive quarterly dividends, and complete AI immunity offers a deep-cyclical value play anchored by the transformative Huntsman merger [1][3]. The approved all-stock merger creates a $12.5B combined chemicals leader with $400M+ in identified synergies expected to close H1 2027, potentially unlocking significant value from purchasing efficiencies, raw material integration, and SG&amp;A savings. Winchester ammunition ($500.3M Q2 revenue with $28.1M earnings) provides counter-cyclical strength, benefiting from tariffs on imported ammunition that create a competitive tailwind [1]. Adjusted EBITDA of $191.3M in Q2 demonstrates the business generates meaningful cash flow even at cyclically depressed margins. The Inspire Impact Score of 32 (ALIGNED) makes this suitable for faith-based portfolios seeking industrial exposure.</w:t>
      </w:r>
    </w:p>
    <w:p>
      <w:pPr>
        <w:spacing w:after="120"/>
      </w:pPr>
      <w:r>
        <w:rPr>
          <w:rFonts w:ascii="Calibri" w:hAnsi="Calibri"/>
          <w:b w:val="0"/>
          <w:color w:val="3A4A28"/>
          <w:sz w:val="20"/>
        </w:rPr>
        <w:t>The bear case is severe: Olin reported a $13.3M net loss in Q2 2026 with revenue declining 1% YoY to $1,741.9M, D/E of 168%, ROE of -5.15%, and profit margin of -1.48%, reflecting a cyclically stressed business with a leveraged balance sheet paying dividends from cash reserves rather than earnings [1][5]. The VCM plant issues at Freeport materially reduced Chlor Alkali margins and demonstrate ongoing operational fragility. Forward P/E of 75x offers no value cushion — if the Huntsman merger synergies fail to materialize or integration proves disruptive, the stock faces further downside from an already depressed $17 level. The Shintech v. Olin litigation resulted in a Q4 2025 charge, adding legal overhang. The $0.20/quarter dividend has been flat for years with 0% growth, and paying dividends while generating net losses is unsustainable without the merger-driven earnings improvement. The 5-year revenue CAGR of approximately -5% reflects the structural challenge of operating in a cyclically exposed commodity chemicals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Huntsman merger expected to close H1 2027 — creating a $12.5B combined chemicals leader with $400M+ in identified synergies from purchasing efficiencies, raw material integration, operational optimization, and SG&amp;A savings [3]</w:t>
      </w:r>
    </w:p>
    <w:p>
      <w:pPr>
        <w:spacing w:before="40" w:after="40"/>
        <w:ind w:left="283"/>
      </w:pPr>
      <w:r>
        <w:rPr>
          <w:rFonts w:ascii="Calibri" w:hAnsi="Calibri"/>
          <w:b/>
          <w:color w:val="4A6B25"/>
          <w:sz w:val="20"/>
        </w:rPr>
        <w:t xml:space="preserve">2. </w:t>
      </w:r>
      <w:r>
        <w:rPr>
          <w:rFonts w:ascii="Calibri" w:hAnsi="Calibri"/>
          <w:b w:val="0"/>
          <w:color w:val="3A4A28"/>
          <w:sz w:val="20"/>
        </w:rPr>
        <w:t>Winchester ammunition segment benefiting from tariffs on imports and increased military/commercial demand — $500.3M Q2 revenue with $28.1M earnings provides counter-cyclical strength while chemicals recover [1]</w:t>
      </w:r>
    </w:p>
    <w:p>
      <w:pPr>
        <w:spacing w:before="40" w:after="40"/>
        <w:ind w:left="283"/>
      </w:pPr>
      <w:r>
        <w:rPr>
          <w:rFonts w:ascii="Calibri" w:hAnsi="Calibri"/>
          <w:b/>
          <w:color w:val="4A6B25"/>
          <w:sz w:val="20"/>
        </w:rPr>
        <w:t xml:space="preserve">3. </w:t>
      </w:r>
      <w:r>
        <w:rPr>
          <w:rFonts w:ascii="Calibri" w:hAnsi="Calibri"/>
          <w:b w:val="0"/>
          <w:color w:val="3A4A28"/>
          <w:sz w:val="20"/>
        </w:rPr>
        <w:t>Chlor-alkali pricing improvement and VCM plant recovery at Freeport — management expects Q3 chemical results roughly comparable to Q2 with seasonal pickup in Winchester demand, and longer-term chlorine demand recovery from housing, PVC, and water treatment could restore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168% constrains balance sheet flexibility — paying a 4.2% dividend yield while generating net losses ($13.3M Q2 loss) is unsustainable without the Huntsman merger synergies materializing, and integration delays or cost overruns could force a dividend cut [1][5]</w:t>
      </w:r>
    </w:p>
    <w:p>
      <w:pPr>
        <w:spacing w:before="40" w:after="40"/>
        <w:ind w:left="283"/>
      </w:pPr>
      <w:r>
        <w:rPr>
          <w:rFonts w:ascii="Calibri" w:hAnsi="Calibri"/>
          <w:b/>
          <w:color w:val="4A6B25"/>
          <w:sz w:val="20"/>
        </w:rPr>
        <w:t xml:space="preserve">2. </w:t>
      </w:r>
      <w:r>
        <w:rPr>
          <w:rFonts w:ascii="Calibri" w:hAnsi="Calibri"/>
          <w:b w:val="0"/>
          <w:color w:val="3A4A28"/>
          <w:sz w:val="20"/>
        </w:rPr>
        <w:t>VCM plant operational issues at Freeport materially reduced Chlor Alkali margins in Q2 and demonstrate ongoing execution risk in the core chemical manufacturing operations — any recurrence would compound the already-negative profit margin [1]</w:t>
      </w:r>
    </w:p>
    <w:p>
      <w:pPr>
        <w:spacing w:before="40" w:after="40"/>
        <w:ind w:left="283"/>
      </w:pPr>
      <w:r>
        <w:rPr>
          <w:rFonts w:ascii="Calibri" w:hAnsi="Calibri"/>
          <w:b/>
          <w:color w:val="4A6B25"/>
          <w:sz w:val="20"/>
        </w:rPr>
        <w:t xml:space="preserve">3. </w:t>
      </w:r>
      <w:r>
        <w:rPr>
          <w:rFonts w:ascii="Calibri" w:hAnsi="Calibri"/>
          <w:b w:val="0"/>
          <w:color w:val="3A4A28"/>
          <w:sz w:val="20"/>
        </w:rPr>
        <w:t>Huntsman merger integration risk — combining two large chemical companies with different cultures, product portfolios, and geographic footprints has historically been challenging, and the $400M synergy target may prove optimistic if commodity chemical demand remains weak through the integration period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Olin's core businesses are physical manufacturing of chlor-alkali chemicals and Winchester ammunition — products that AI structurally cannot displace [1]. Chlorine is essential for water treatment and PVC production; caustic soda is fundamental to industrial processes; ammunition requires physical manufacturing with no digital substitute. AI data center expansion increases electricity demand, which indirectly benefits chlor-alkali producers since chlorine production is electricity-intensive. No analysts have identified AI substitution risk for commodity chemicals or ammunition. Olin's filings acknowledge AI-related risks only in terms of failing to adopt AI tools, not AI threatening the business model [2]. AI Opportunity (0/1): No AI revenue, AI products, or quantified AI-driven operational improvements. The company is implementing AI in production for energy optimization but has not disclosed specific financial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Olin Corporation Q2 2026 Earnings Release — Revenue $1,741.9M (-1% YoY), Net Loss $13.3M, EPS -$0.12, Adj EBITDA $191.3M, Winchester $500.3M Revenue, VCM Plant Issues — StockTitan, TradingView, Yahoo Finance, July-August 2026</w:t>
      </w:r>
    </w:p>
    <w:p>
      <w:pPr>
        <w:spacing w:before="20" w:after="20"/>
        <w:ind w:left="170"/>
      </w:pPr>
      <w:r>
        <w:rPr>
          <w:rFonts w:ascii="Calibri" w:hAnsi="Calibri"/>
          <w:b/>
          <w:color w:val="4A6B25"/>
          <w:sz w:val="15"/>
        </w:rPr>
        <w:t xml:space="preserve">2. </w:t>
      </w:r>
      <w:r>
        <w:rPr>
          <w:rFonts w:ascii="Calibri" w:hAnsi="Calibri"/>
          <w:b w:val="0"/>
          <w:color w:val="3A4A28"/>
          <w:sz w:val="17"/>
        </w:rPr>
        <w:t>Olin Corporation Leadership, AI, and Culture — CEO Kenneth Lane (since March 2024), AI Deployment in Chlor-Alkali Production, Glassdoor Culture Reviews, Digital Transformation — Corporate Website, Glassdoor, Comparably, 2024-2026</w:t>
      </w:r>
    </w:p>
    <w:p>
      <w:pPr>
        <w:spacing w:before="20" w:after="20"/>
        <w:ind w:left="170"/>
      </w:pPr>
      <w:r>
        <w:rPr>
          <w:rFonts w:ascii="Calibri" w:hAnsi="Calibri"/>
          <w:b/>
          <w:color w:val="4A6B25"/>
          <w:sz w:val="15"/>
        </w:rPr>
        <w:t xml:space="preserve">3. </w:t>
      </w:r>
      <w:r>
        <w:rPr>
          <w:rFonts w:ascii="Calibri" w:hAnsi="Calibri"/>
          <w:b w:val="0"/>
          <w:color w:val="3A4A28"/>
          <w:sz w:val="17"/>
        </w:rPr>
        <w:t>Olin-Huntsman Merger — All-Stock Merger Approved August 25, 2026, $12.5B Combined Revenue, $400M+ Synergies, Olin 54.5% Ownership, H1 2027 Expected Close — SEC Filings, SGB Media, Yahoo Finance, August 2026</w:t>
      </w:r>
    </w:p>
    <w:p>
      <w:pPr>
        <w:spacing w:before="20" w:after="20"/>
        <w:ind w:left="170"/>
      </w:pPr>
      <w:r>
        <w:rPr>
          <w:rFonts w:ascii="Calibri" w:hAnsi="Calibri"/>
          <w:b/>
          <w:color w:val="4A6B25"/>
          <w:sz w:val="15"/>
        </w:rPr>
        <w:t xml:space="preserve">4. </w:t>
      </w:r>
      <w:r>
        <w:rPr>
          <w:rFonts w:ascii="Calibri" w:hAnsi="Calibri"/>
          <w:b w:val="0"/>
          <w:color w:val="3A4A28"/>
          <w:sz w:val="17"/>
        </w:rPr>
        <w:t>Olin ESG and Sustainability — Board ESG Oversight, Sustainability Strategy, ESG Scorecard, No Controversies Identified — SEC Proxy Filings, CSRHub, Corporate Website, 2022-2026</w:t>
      </w:r>
    </w:p>
    <w:p>
      <w:pPr>
        <w:spacing w:before="20" w:after="20"/>
        <w:ind w:left="170"/>
      </w:pPr>
      <w:r>
        <w:rPr>
          <w:rFonts w:ascii="Calibri" w:hAnsi="Calibri"/>
          <w:b/>
          <w:color w:val="4A6B25"/>
          <w:sz w:val="15"/>
        </w:rPr>
        <w:t xml:space="preserve">5. </w:t>
      </w:r>
      <w:r>
        <w:rPr>
          <w:rFonts w:ascii="Calibri" w:hAnsi="Calibri"/>
          <w:b w:val="0"/>
          <w:color w:val="3A4A28"/>
          <w:sz w:val="17"/>
        </w:rPr>
        <w:t>Olin Financial Statistics — Stock Price ~$17, Forward P/E 75x, D/E 168%, ROE -5.15%, Profit Margin -1.48%, Dividend Yield 4.2%, 393 Consecutive Quarterly Dividends, Avg Volume 3.2M — StockAnalysis, GuruFocus, SimplyWallSt,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