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OLPX</w:t>
      </w:r>
      <w:r>
        <w:rPr>
          <w:rFonts w:ascii="Calibri" w:hAnsi="Calibri"/>
          <w:b/>
          <w:color w:val="1A2010"/>
          <w:sz w:val="40"/>
        </w:rPr>
        <w:t xml:space="preserve">  Olaplex Holdings, Inc.</w:t>
      </w:r>
    </w:p>
    <w:p>
      <w:pPr>
        <w:spacing w:after="120"/>
      </w:pPr>
      <w:r>
        <w:rPr>
          <w:rFonts w:ascii="Calibri" w:hAnsi="Calibri"/>
          <w:b/>
          <w:color w:val="6E8450"/>
          <w:sz w:val="18"/>
        </w:rPr>
        <w:t>GROWTH SLEEVE · 2026-09-14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NASDAQ · United States</w:t>
      </w:r>
    </w:p>
    <w:p>
      <w:pPr>
        <w:spacing w:after="80"/>
      </w:pPr>
      <w:r>
        <w:rPr>
          <w:rFonts w:ascii="Calibri" w:hAnsi="Calibri"/>
          <w:b w:val="0"/>
          <w:color w:val="3A4A28"/>
          <w:sz w:val="20"/>
        </w:rPr>
        <w:t>Olaplex Holdings, Inc. develops, manufactures, and sells bond-building hair care products globally. Its patented bis-aminopropyl diglycol dimaleate molecule repairs broken disulfide bonds in hair. Products are sold through professional salons, specialty retail (Sephora, Ulta), and direct-to-consumer channels. Founded in 2014, headquartered in Calabasas, California. Delisted from NASDAQ on July 7, 2026 following completion of $1.4B all-cash acquisition by Henkel AG at $2.06 per share.</w:t>
      </w:r>
    </w:p>
    <w:p>
      <w:r>
        <w:rPr>
          <w:rFonts w:ascii="Calibri" w:hAnsi="Calibri"/>
          <w:b/>
          <w:color w:val="6E8450"/>
          <w:sz w:val="18"/>
        </w:rPr>
        <w:t>278 Employees · https://www.olaplex.com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Olaplex launched No.3 Plus, a faster-acting version of its flagship bond-building treatment, and expanded into body care and styling categories in 2024-2025, but these are incremental product line extensions rather than business model transformations [1]. Revenue declined from a $599M peak in 2021 to $423M in 2025, indicating the innovation pipeline failed to sustain growth. AI Deployment (0/2): R&amp;D budget of $32.4M includes $1.2M allocated to AI-driven formulation research using machine learning to predict hair behavior, but no AI-powered products are shipping to customers and no quantified AI revenue or cost savings have been reported [2]. Market Share (1/2): Olaplex pioneered the prestige bond-building category and maintains brand recognition, but lost meaningful share to competitors K18, Bondi Boost, and salon alternatives as the category commoditized, with specialty retail sales declining 13.3% in Q1 2026 [1]. Product Pipeline (1/2): New product launches continue in body care and styling adjacencies, but the pipeline lacks specificity — no next-generation platform product has been announced with clear timelines or revenue targets. R&amp;D Intensity (1/1): R&amp;D spend of approximately 7.7% of revenue is above-average for the personal care industry, where peers typically spend 2-4%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Olaplex articulates a purpose centered on 'healthy, beautiful hair through science,' which identifies what the company does and for whom but does not connect to a larger societal purpose or inspire beyond the product category. The mission is functional rather than transformative. Community Impact (0/2): No evidence of significant charitable programs, community investment, or foundation activity. The company's 278-person workforce and turnaround focus leave limited resources for community initiatives. Employee Retention (0/2): Glassdoor rating of 2.7/5.0 with only 36% of employees recommending Olaplex as a workplace [2]. Reviews cite 'cliquey-ness and favoritism,' 'borderline incompetent leadership,' and 'outdated systems that are extremely manual,' indicating a low-trust culture with poor retention. Insider Buying (0/2): No evidence of meaningful net insider buying; insider activity dominated by the pending Henkel acquisition at $2.06/share rather than conviction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zero due to the IOWN liquidity floor: Olaplex was acquired by Henkel and delisted from NASDAQ on July 7, 2026 — avg_daily_volume is effectively 0, and the stock cannot be traded [1]. Pre-delisting fundamentals were weak: D/E of 40.0% was healthy, but ROE of -1.7% and profit margin of -3.5% scored zero on both profitability metrics. Q1 2026 net loss was $5.3M with SG&amp;A surging 37.4% YoY on turnaround spending [1]. Revenue growth stabilized at 1.1% YoY after three years of decline from the $599M 2021 peak, and 5-year revenue CAGR of approximately 8.4% is inflated by the IPO-era surge. Forward P/E of 21.79 was near the 20 target pre-acquisition. The $2.06 acquisition price represents a 90% decline from the $21 IPO price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Olaplex under Amanda Baldwin has been in survival mode, not infinite game mode. The company experienced a multi-year revenue decline from its 2021 peak, faced brand-damaging lawsuits over hair loss and misleading 'Made in USA' labeling, and ultimately accepted a $1.4B buyout from Henkel at a 95% discount to its IPO-era valuation. Glassdoor scores of 2.7/5.0 and leadership instability suggest an organization optimizing for near-term survival rather than long-term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Olaplex's purpose — healthy hair through science — is product-specific and interchangeable with any premium hair care brand. While the patented bond-building technology was genuinely innovative at founding, the purpose never evolved into something larger than the product itself. CEO Amanda Baldwin articulated operational improvement goals since joining in October 2023, but these are turnaround metrics, not a vision of a future state that inspires sacrifice [2]. The company's acceptance of the Henkel buyout suggests leadership views the brand as a financial asset rather than a cause worth fighting for independently.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2.7/5.0 with only 36% of employees recommending Olaplex indicates a low-trust environment [2]. Employee reviews describe 'cliquey-ness and favoritism,' 'borderline incompetent leadership that does not keep track of previous decisions and changes its mind often,' and 'outdated systems that are extremely manual and time consuming.' With only 278 employees, these cultural issues are particularly damaging — there is no organizational buffer to absorb dysfunction. Leadership turnover since the IPO, including multiple C-suite changes, further undermines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Olaplex's competitive posture has been defensive rather than growth-oriented. The company lost significant market share to K18, Bondi Boost, and salon alternatives but has not publicly acknowledged competitors' strengths or articulated how competitive pressure is improving its own offerings. The brand's response to category commoditization has been incremental product extensions rather than a rethinking of competitive positioning inspired by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Olaplex remains fundamentally the same bond-building hair care company it was at founding. Expansion into body care and styling represents adjacent category extension, not transformative reinvention. The company has not demonstrated willingness to abandon its legacy business model in service of a larger purpose. Accepting the Henkel acquisition at $2.06/share — a 95% decline from IPO-era highs — suggests the company ran out of strategic options rather than proactively pivoting [3].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performance for future capability. CEO Baldwin's turnaround plan focused on operational efficiency and cost management — necessary but not courageous. The $47.5M securities class action settlement, product liability lawsuits over hair loss, and 'Made in USA' labeling lawsuit suggest leadership failed to proactively address product safety and transparency issues before they became costly liabilities [3]. Accepting the Henkel acquisition represents capitulation rather than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Olaplex reported Q1 2026 revenue of $99.4M (+2.5% YoY) with gross margin of 72.1%, showing stabilization after three consecutive years of revenue decline from the $599M 2021 peak [1]. The Professional channel grew 12.3% and DTC grew 13.8%, partially offset by a 13.3% decline in specialty retail. Balance sheet carries $326.2M cash against $352.5M debt, and R&amp;D investment of ~$32M annually preserves the company's science-led differentiation in bond-building hair care. The Henkel acquisition at $2.06/share ($1.4B total, 55% premium to pre-announcement price) provides certainty of value for shareholders and access to Henkel's global distribution and R&amp;D infrastructure for the brand's next growth phase [1].</w:t>
      </w:r>
    </w:p>
    <w:p>
      <w:pPr>
        <w:spacing w:after="120"/>
      </w:pPr>
      <w:r>
        <w:rPr>
          <w:rFonts w:ascii="Calibri" w:hAnsi="Calibri"/>
          <w:b w:val="0"/>
          <w:color w:val="3A4A28"/>
          <w:sz w:val="20"/>
        </w:rPr>
        <w:t>The fundamental bear case materialized: Olaplex's bond-building technology was commoditized faster than expected, with competitors like K18 capturing share while product liability lawsuits over hair loss and 'Made in USA' mislabeling destroyed brand equity and consumer trust [3]. The $47.5M securities class action settlement confirmed that IPO disclosures understated regulatory and product safety risks. Revenue contracted 29% from peak, profit margins turned negative with Q1 2026 net loss of $5.3M, and SG&amp;A surged 37.4% on turnaround spending without commensurate revenue recovery [1]. The company's 278-person workforce operates in a low-trust culture (Glassdoor 2.7/5.0), and the Henkel buyout at a 95% discount to IPO-era valuations represents the market's verdict on the standalone franchise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Henkel acquisition provides $1.4B enterprise value certainty and access to Henkel's global salon distribution network, potentially reaccelerating international growth beyond the 8.6% Q1 2026 rate</w:t>
      </w:r>
    </w:p>
    <w:p>
      <w:pPr>
        <w:spacing w:before="40" w:after="40"/>
        <w:ind w:left="283"/>
      </w:pPr>
      <w:r>
        <w:rPr>
          <w:rFonts w:ascii="Calibri" w:hAnsi="Calibri"/>
          <w:b/>
          <w:color w:val="4A6B25"/>
          <w:sz w:val="20"/>
        </w:rPr>
        <w:t xml:space="preserve">2. </w:t>
      </w:r>
      <w:r>
        <w:rPr>
          <w:rFonts w:ascii="Calibri" w:hAnsi="Calibri"/>
          <w:b w:val="0"/>
          <w:color w:val="3A4A28"/>
          <w:sz w:val="20"/>
        </w:rPr>
        <w:t>Professional channel recovery at 12.3% growth in Q1 2026 suggests salon relationships are stabilizing, which could drive renewed recommendation-based demand under Henkel ownership</w:t>
      </w:r>
    </w:p>
    <w:p>
      <w:pPr>
        <w:spacing w:before="40" w:after="40"/>
        <w:ind w:left="283"/>
      </w:pPr>
      <w:r>
        <w:rPr>
          <w:rFonts w:ascii="Calibri" w:hAnsi="Calibri"/>
          <w:b/>
          <w:color w:val="4A6B25"/>
          <w:sz w:val="20"/>
        </w:rPr>
        <w:t xml:space="preserve">3. </w:t>
      </w:r>
      <w:r>
        <w:rPr>
          <w:rFonts w:ascii="Calibri" w:hAnsi="Calibri"/>
          <w:b w:val="0"/>
          <w:color w:val="3A4A28"/>
          <w:sz w:val="20"/>
        </w:rPr>
        <w:t>R&amp;D investment of $32.4M annually including AI-driven formulation research could yield next-generation bond-building products to recapture category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Stock is delisted as of July 7, 2026 following Henkel acquisition completion — no further public market trading or price discovery available</w:t>
      </w:r>
    </w:p>
    <w:p>
      <w:pPr>
        <w:spacing w:before="40" w:after="40"/>
        <w:ind w:left="283"/>
      </w:pPr>
      <w:r>
        <w:rPr>
          <w:rFonts w:ascii="Calibri" w:hAnsi="Calibri"/>
          <w:b/>
          <w:color w:val="4A6B25"/>
          <w:sz w:val="20"/>
        </w:rPr>
        <w:t xml:space="preserve">2. </w:t>
      </w:r>
      <w:r>
        <w:rPr>
          <w:rFonts w:ascii="Calibri" w:hAnsi="Calibri"/>
          <w:b w:val="0"/>
          <w:color w:val="3A4A28"/>
          <w:sz w:val="20"/>
        </w:rPr>
        <w:t>Brand equity permanently impaired by hair loss lawsuits and 'Made in USA' mislabeling litigation, with specialty retail sales still declining 13.3% in Q1 2026 despite turnaround efforts [3]</w:t>
      </w:r>
    </w:p>
    <w:p>
      <w:pPr>
        <w:spacing w:before="40" w:after="40"/>
        <w:ind w:left="283"/>
      </w:pPr>
      <w:r>
        <w:rPr>
          <w:rFonts w:ascii="Calibri" w:hAnsi="Calibri"/>
          <w:b/>
          <w:color w:val="4A6B25"/>
          <w:sz w:val="20"/>
        </w:rPr>
        <w:t xml:space="preserve">3. </w:t>
      </w:r>
      <w:r>
        <w:rPr>
          <w:rFonts w:ascii="Calibri" w:hAnsi="Calibri"/>
          <w:b w:val="0"/>
          <w:color w:val="3A4A28"/>
          <w:sz w:val="20"/>
        </w:rPr>
        <w:t>Profitability remains negative with $5.3M Q1 2026 net loss and SG&amp;A up 37.4% YoY, raising questions about whether turnaround spending generates adequate returns under Henkel ownership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Olaplex's core business — manufacturing and selling patented chemical hair care treatments — is structurally protected from AI disruption. The bond-building molecule (bis-aminopropyl diglycol dimaleate) is a physical chemistry product requiring wet-lab development, manufacturing infrastructure, and salon/retail distribution that AI cannot substitute [2]. Beauty product purchasing remains highly sensory and personal, resisting AI-driven commoditization. However, AI-powered personalization tools from competitors (L'Oreal, P&amp;G) could erode Olaplex's differentiation if rivals use AI to develop targeted formulations faster. AI Opportunity (0/1): The company has allocated $1.2M to AI research for formulation optimization using machine learning, but this is exploratory with no AI-derived revenue or quantified efficiency gains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Olaplex Q1 2026 Earnings Release — net sales $99.4M (+2.5% YoY), net loss $5.3M, gross margin 72.1%, Stock Titan / Olaplex IR, May 2026</w:t>
      </w:r>
    </w:p>
    <w:p>
      <w:pPr>
        <w:spacing w:before="20" w:after="20"/>
        <w:ind w:left="170"/>
      </w:pPr>
      <w:r>
        <w:rPr>
          <w:rFonts w:ascii="Calibri" w:hAnsi="Calibri"/>
          <w:b/>
          <w:color w:val="4A6B25"/>
          <w:sz w:val="15"/>
        </w:rPr>
        <w:t xml:space="preserve">2. </w:t>
      </w:r>
      <w:r>
        <w:rPr>
          <w:rFonts w:ascii="Calibri" w:hAnsi="Calibri"/>
          <w:b w:val="0"/>
          <w:color w:val="3A4A28"/>
          <w:sz w:val="17"/>
        </w:rPr>
        <w:t>Olaplex AI and R&amp;D Strategy, CEO Amanda Baldwin Leadership, Glassdoor Reviews — Business of Fashion, AInvest,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Olaplex Lawsuits and Controversies — NPR (hair loss claims), ConsumerShield, ClassAction.org ($47.5M securities settlement),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OLPX Key Statistics, D/E 40%, Forward P/E 21.79, ROE -1.7%, avg volume 4.4M,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