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ORN</w:t>
      </w:r>
      <w:r>
        <w:rPr>
          <w:rFonts w:ascii="Calibri" w:hAnsi="Calibri"/>
          <w:b/>
          <w:color w:val="1A2010"/>
          <w:sz w:val="40"/>
        </w:rPr>
        <w:t xml:space="preserve">  Orion Group Holdings, Inc.</w:t>
      </w:r>
    </w:p>
    <w:p>
      <w:pPr>
        <w:spacing w:after="120"/>
      </w:pPr>
      <w:r>
        <w:rPr>
          <w:rFonts w:ascii="Calibri" w:hAnsi="Calibri"/>
          <w:b/>
          <w:color w:val="6E8450"/>
          <w:sz w:val="18"/>
        </w:rPr>
        <w:t>GROWTH SLEEVE · 2026-09-30 · Inspire: 20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43</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Industrials · Engineering &amp; Construction · NYSE · United States</w:t>
      </w:r>
    </w:p>
    <w:p>
      <w:pPr>
        <w:spacing w:after="80"/>
      </w:pPr>
      <w:r>
        <w:rPr>
          <w:rFonts w:ascii="Calibri" w:hAnsi="Calibri"/>
          <w:b w:val="0"/>
          <w:color w:val="3A4A28"/>
          <w:sz w:val="20"/>
        </w:rPr>
        <w:t>Orion Group Holdings, Inc. is a specialty construction company operating through two segments: Marine (shoreline protection, jetties, breakwaters, dredging, marine transportation) and Concrete (structural concrete, site work, data center construction). The company acquired J.E. McAmis to strengthen marine capabilities. Q2 2026 revenue of $221.9M brought TTM revenue to approximately $896.5M. FY2026 guidance of $900-950M revenue and $50-54M Adjusted EBITDA was maintained. The concrete segment is benefiting from AI data center construction demand with 30%+ revenue growth. $27B pursuit pipeline provides long-term visibility. Market cap approximately $340M with 2,076 employees. Headquartered in Houston, Texas.</w:t>
      </w:r>
    </w:p>
    <w:p>
      <w:r>
        <w:rPr>
          <w:rFonts w:ascii="Calibri" w:hAnsi="Calibri"/>
          <w:b/>
          <w:color w:val="6E8450"/>
          <w:sz w:val="18"/>
        </w:rPr>
        <w:t>2,076 Employees · https://www.oriongroupholdingsinc.com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Orion acquired J.E. McAmis to strengthen jetty and breakwater marine construction capabilities, and strategically repositioned the Concrete segment toward high-growth data center construction — Q2 2026 Concrete revenue grew 30%+ with 45% adjusted EBITDA growth, driven by hyperscaler data center development and commercial site work [1][2]. This represents a meaningful positioning shift within the construction industry. AI Deployment (0/2): No evidence of AI-powered products, AI-driven estimating tools, or quantified AI operational savings; Orion's competitive advantage is physical construction capabilities and niche marine expertise, not technology differentiation [3]. Market Share (1/2): Orion is a meaningful specialty construction player with ~$896M TTM revenue and niche capabilities in marine construction (USACE shoreline protection, dredging) and data center concrete, but is not a category leader in the fragmented $2T+ US construction industry [1]. Product Pipeline (1/2): $27B pursuit pipeline and projects quoted awaiting award provide strong forward visibility; FY2026 guidance of $900-950M revenue maintained after Q2. Q2 2026 bookings of $275M+ (1.25x book-to-bill) signal backlog recovery [1][4]. R&amp;D Intensity (0/1): No formal R&amp;D spend disclosed; construction companies invest in equipment and capabilities rather than traditional research.</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Orion's public identity centers on core values — Safety, Quality, Delivery, Teamwork, and Integrity — standard corporate values interchangeable with any construction company [5]. No distinctive mission or vision statement articulates why Orion exists beyond providing construction services. The company published a CSR/Sustainability Report but the underlying purpose remains generic. Community Impact (0/2): No evidence of distinctive charitable programs or community foundations beyond standard construction industry community engagement [5]. The CSR report focuses on operational sustainability rather than transformative community investment. Employee Retention (0/2): No employee retention, tenure, or turnover data available from public sources. CEO Travis Boone joined September 2022 from AECOM, providing leadership continuity for 4 years, but the recent CFO transition suggests some organizational flux [3]. Insider Buying (0/2): No insider buying data identified in public sources; no evidence of management open-market purchases at current levels despite the stock's ~20% decline from June 2026 highs.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for a Growth stock. D/E of 98.9% is above the 70% target but well within the 300% floor, scoring 0.87 [6]. ROE of 2.27% is barely above the 0% floor, reflecting the razor-thin profitability endemic to specialty construction (scoring 0.15 at 2x weight). Revenue growth YoY of 8.1% is near the 10% target (scoring 0.94), and the 5-year revenue CAGR of approximately 9% (2021-2026 per management) scores 0.93 at 2x weight [1][4]. Forward P/E of 18.69x is below the 20x target and scores a perfect 1.0, reflecting improved valuation after the stock's decline from $10.46 to $8.41 [6]. Profit margin of 0.4% is barely above zero, scoring 0.02. The major drag is the Forward PEG of 28.96, which scores 0.0 at 2x weight — the trailing P/E of 105x relative to negligible trailing EPS growth produces an absurd PEG figure. Liquidity floor cleared at ~$4.4M daily dollar volume.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Orion Group Holdings operates as a competent specialty construction company without the hallmarks of an infinite game player. No articulated Just Cause exists — the company builds marine and concrete infrastructure for profit. CEO Travis Boone (since September 2022, from AECOM) has provided stable leadership and executed the data center pivot, but decisions appear driven by market opportunity and financial returns rather than a vision of a future state worth building toward. The McAmis acquisition and data center repositioning show strategic adaptability within a fundamentally finite-game framework.</w:t>
      </w:r>
    </w:p>
    <w:p>
      <w:pPr>
        <w:spacing w:before="200" w:after="40"/>
      </w:pPr>
      <w:r>
        <w:rPr>
          <w:rFonts w:ascii="Calibri" w:hAnsi="Calibri"/>
          <w:b/>
          <w:color w:val="1A2010"/>
          <w:sz w:val="22"/>
        </w:rPr>
        <w:t>Just Cause</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(0/3): Orion Group Holdings does not articulate a Just Cause. The company's core values (Safety, Quality, Delivery, Teamwork, Integrity) are standard construction industry platitudes, not a vision of a future state that inspires sacrifice [5]. The company exists to build infrastructure for profit — a necessary service, but one Orion does not connect to a larger purpose that would differentiate from peers. Strategic decisions (McAmis acquisition, data center pivot) are commercially driven, targeting growth markets rather than advancing a cause.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Orion's organizational stability is adequate. CEO Travis Boone has provided 4 years of leadership continuity since joining in September 2022, and the company's 2,076 employees operate in a construction culture where physical safety demands mutual trust [3][5]. Core values emphasize Teamwork and Safety, which are operationally embedded. However, the CFO transition (Alison Vasquez appointed June 2025) and the stock's significant decline from June 2026 highs could create organizational uncertainty. No evidence of exceptional trust-building practices or employee empowerment beyond industry norms.</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an infinite competitive mindset. Orion's competitive positioning emphasizes niche capabilities in marine and concrete construction, and the $27B pursuit pipeline suggests a focus on winning contracts rather than learning from competitive dynamics [1]. No management commentary acknowledges competitor strengths or frames rivalry as a catalyst for self-improvement.</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Orion has evolved its business model through the J.E. McAmis acquisition (strengthening marine jetty/breakwater capabilities) and strategic pivot of the Concrete segment toward data center construction, which now drives 30%+ revenue growth [1][2]. These are meaningful adaptations to secular growth opportunities in AI infrastructure. However, these changes are incremental extensions of existing concrete and marine construction capabilities, not transformative pivots that abandoned a core business — the company remains a specialty contractor serving infrastructure markets.</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McAmis acquisition represented a meaningful strategic bet on marine construction capabilities during a period of tight profitability, and the Concrete segment's proactive pivot toward data center construction demonstrates forward-looking capital allocation [1][4]. CEO Boone maintained FY2026 guidance ($900-950M revenue, $50-54M EBITDA) despite Q2's marine underperformance, signaling confidence in full-year execution [2]. However, with 0.4% GAAP profit margins and 98.9% D/E, the company has limited capacity for truly courageous long-term bets that sacrifice near-term results.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Orion Group Holdings is positioned at the intersection of two secular growth themes: marine infrastructure investment (USACE-funded shoreline protection, beneficial use projects) and AI-driven data center construction, which powered 30%+ Concrete segment growth and 45% adjusted EBITDA growth in Q2 2026 [1][2]. FY2026 guidance of $900-950M revenue (9% growth at midpoint) with $50-54M Adjusted EBITDA (15% growth at midpoint) demonstrates improving operating leverage [4]. The $27B pursuit pipeline provides long-term visibility, and Q2 2026 bookings of $275M+ (1.25x book-to-bill) signal backlog recovery after FY2025's 12% decline. At $340M market cap (~0.38x revenue), the stock is cheaply valued relative to specialty construction peers, with Forward P/E of 18.69x below the 20x target and offering potential re-rating as profitability normalizes.</w:t>
      </w:r>
    </w:p>
    <w:p>
      <w:pPr>
        <w:spacing w:after="120"/>
      </w:pPr>
      <w:r>
        <w:rPr>
          <w:rFonts w:ascii="Calibri" w:hAnsi="Calibri"/>
          <w:b w:val="0"/>
          <w:color w:val="3A4A28"/>
          <w:sz w:val="20"/>
        </w:rPr>
        <w:t>The bear case centers on structural profitability and balance sheet risk. FY2025 GAAP net income of just $2.5M on $852M revenue (0.29% margin) is barely breakeven, and Q2 2026 produced a $4.1M net loss despite 8% revenue growth due to marine segment timing issues [2]. D/E has increased to 98.9% (from 67.2% previously), and total debt of $162.7M against only $2.5M cash creates liquidity tightness [6]. The Forward PEG of 28.96 reflects negligible earnings growth relative to the trailing P/E, suggesting the market sees limited profitability improvement ahead. Revenue growth has decelerated from 15% in Q1 to 8.1% in Q2, and the marine segment's project timing dependency creates quarterly volatility. Free cash flow was -$20.9M TTM, meaning the company is consuming cash despite near-breakeven profitability. The stock has declined ~20% from June 2026 levels following the Q2 miss, and any further marine project delays or data center construction slowdown could pressure results below guidance.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Data center construction boom driving continued 30%+ Concrete segment growth as hyperscalers accelerate AI infrastructure buildout — the $27B pursuit pipeline includes significant data center opportunities through 2027-2028 [1][2]</w:t>
      </w:r>
    </w:p>
    <w:p>
      <w:pPr>
        <w:spacing w:before="40" w:after="40"/>
        <w:ind w:left="283"/>
      </w:pPr>
      <w:r>
        <w:rPr>
          <w:rFonts w:ascii="Calibri" w:hAnsi="Calibri"/>
          <w:b/>
          <w:color w:val="4A6B25"/>
          <w:sz w:val="20"/>
        </w:rPr>
        <w:t xml:space="preserve">2. </w:t>
      </w:r>
      <w:r>
        <w:rPr>
          <w:rFonts w:ascii="Calibri" w:hAnsi="Calibri"/>
          <w:b w:val="0"/>
          <w:color w:val="3A4A28"/>
          <w:sz w:val="20"/>
        </w:rPr>
        <w:t>Marine segment recovery as quoted projects convert to awards, particularly USACE shoreline protection and beneficial use infrastructure projects that provide multi-year revenue visibility [4]</w:t>
      </w:r>
    </w:p>
    <w:p>
      <w:pPr>
        <w:spacing w:before="40" w:after="40"/>
        <w:ind w:left="283"/>
      </w:pPr>
      <w:r>
        <w:rPr>
          <w:rFonts w:ascii="Calibri" w:hAnsi="Calibri"/>
          <w:b/>
          <w:color w:val="4A6B25"/>
          <w:sz w:val="20"/>
        </w:rPr>
        <w:t xml:space="preserve">3. </w:t>
      </w:r>
      <w:r>
        <w:rPr>
          <w:rFonts w:ascii="Calibri" w:hAnsi="Calibri"/>
          <w:b w:val="0"/>
          <w:color w:val="3A4A28"/>
          <w:sz w:val="20"/>
        </w:rPr>
        <w:t>Margin normalization from McAmis integration, marine project ramp-up, and operating leverage on growing revenue base, potentially lifting GAAP margins from sub-1% toward the 2-3% range typical of specialty E&amp;C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Structural profitability crisis — 0.4% GAAP net margin, 98.9% D/E, $2.5M cash, and -$20.9M free cash flow leave zero margin of safety for cost overruns, weather delays, or project timing slippage endemic to construction [2][6]</w:t>
      </w:r>
    </w:p>
    <w:p>
      <w:pPr>
        <w:spacing w:before="40" w:after="40"/>
        <w:ind w:left="283"/>
      </w:pPr>
      <w:r>
        <w:rPr>
          <w:rFonts w:ascii="Calibri" w:hAnsi="Calibri"/>
          <w:b/>
          <w:color w:val="4A6B25"/>
          <w:sz w:val="20"/>
        </w:rPr>
        <w:t xml:space="preserve">2. </w:t>
      </w:r>
      <w:r>
        <w:rPr>
          <w:rFonts w:ascii="Calibri" w:hAnsi="Calibri"/>
          <w:b w:val="0"/>
          <w:color w:val="3A4A28"/>
          <w:sz w:val="20"/>
        </w:rPr>
        <w:t>Marine segment execution risk: Q2 2026 marine revenue and profitability declined due to project start-up timing and lower equipment utilization; continued slippage in large project awards would drag consolidated results below $900M revenue guidance [2]</w:t>
      </w:r>
    </w:p>
    <w:p>
      <w:pPr>
        <w:spacing w:before="40" w:after="40"/>
        <w:ind w:left="283"/>
      </w:pPr>
      <w:r>
        <w:rPr>
          <w:rFonts w:ascii="Calibri" w:hAnsi="Calibri"/>
          <w:b/>
          <w:color w:val="4A6B25"/>
          <w:sz w:val="20"/>
        </w:rPr>
        <w:t xml:space="preserve">3. </w:t>
      </w:r>
      <w:r>
        <w:rPr>
          <w:rFonts w:ascii="Calibri" w:hAnsi="Calibri"/>
          <w:b w:val="0"/>
          <w:color w:val="3A4A28"/>
          <w:sz w:val="20"/>
        </w:rPr>
        <w:t>Balance sheet deterioration with D/E rising to 98.9% and total debt of $162.7M against only $2.5M cash; any working capital squeeze or delayed project payments could force dilutive capital raises at depressed valuation [6]</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Orion's core business — marine construction (jetties, shoreline protection, dredging) and concrete construction (data centers, commercial sites) — is fundamentally immune to AI disruption [1]. Physical construction requires heavy equipment, skilled labor, site-specific engineering, environmental permitting, and hands-on execution that AI structurally cannot substitute. USACE contracting, environmental compliance, bonding requirements, and safety regulations create additional structural protection. Critically, AI infrastructure buildout is a direct demand driver for Orion's fastest-growing Concrete segment — data center construction grew 30%+ in Q2 2026, meaning AI expansion increases demand for Orion's services rather than threatening them [1][2]. The only AI-related risk is that AI-powered estimating and project management tools could improve competitor efficiency, but this is a minor productivity enhancement, not a substitution threat. AI Opportunity (0/1): Orion does not generate revenue from AI products or services. The company benefits from AI-driven demand (data center construction) but sells physical construction services, not AI technology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20</w:t>
      </w:r>
      <w:r>
        <w:rPr>
          <w:rFonts w:ascii="Calibri" w:hAnsi="Calibri"/>
          <w:b/>
          <w:color w:val="B8860B"/>
          <w:sz w:val="20"/>
        </w:rPr>
        <w:t xml:space="preserve">    MIXED</w:t>
      </w:r>
    </w:p>
    <w:p>
      <w:pPr>
        <w:spacing w:before="80" w:after="40"/>
      </w:pPr>
      <w:r>
        <w:rPr>
          <w:rFonts w:ascii="Calibri" w:hAnsi="Calibri"/>
          <w:b/>
          <w:color w:val="6E8450"/>
          <w:sz w:val="18"/>
        </w:rPr>
        <w:t xml:space="preserve">Positive: </w:t>
      </w:r>
      <w:r>
        <w:rPr>
          <w:rFonts w:ascii="Calibri" w:hAnsi="Calibri"/>
          <w:b/>
          <w:color w:val="16A34A"/>
          <w:sz w:val="17"/>
        </w:rPr>
        <w:t xml:space="preserve"> Air Quality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Product Sustainability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Orion Group Holdings Q2 2026 Earnings Release — Revenue $221.9M, Net Loss -$4.1M, Adj EBITDA $7.9M, FY2026 Guidance $900-950M Revenue — GlobeNewsWire / NASDAQ, July 28, 2026</w:t>
      </w:r>
    </w:p>
    <w:p>
      <w:pPr>
        <w:spacing w:before="20" w:after="20"/>
        <w:ind w:left="170"/>
      </w:pPr>
      <w:r>
        <w:rPr>
          <w:rFonts w:ascii="Calibri" w:hAnsi="Calibri"/>
          <w:b/>
          <w:color w:val="4A6B25"/>
          <w:sz w:val="15"/>
        </w:rPr>
        <w:t xml:space="preserve">2. </w:t>
      </w:r>
      <w:r>
        <w:rPr>
          <w:rFonts w:ascii="Calibri" w:hAnsi="Calibri"/>
          <w:b w:val="0"/>
          <w:color w:val="3A4A28"/>
          <w:sz w:val="17"/>
        </w:rPr>
        <w:t>Orion Group Holdings Q1 2026 Results — Revenue $216M (+15% YoY), Net Income $4.7M, Adj EBITDA $8.7M — GlobeNewsWire / DredgeWire, April 28, 2026</w:t>
      </w:r>
    </w:p>
    <w:p>
      <w:pPr>
        <w:spacing w:before="20" w:after="20"/>
        <w:ind w:left="170"/>
      </w:pPr>
      <w:r>
        <w:rPr>
          <w:rFonts w:ascii="Calibri" w:hAnsi="Calibri"/>
          <w:b/>
          <w:color w:val="4A6B25"/>
          <w:sz w:val="15"/>
        </w:rPr>
        <w:t xml:space="preserve">3. </w:t>
      </w:r>
      <w:r>
        <w:rPr>
          <w:rFonts w:ascii="Calibri" w:hAnsi="Calibri"/>
          <w:b w:val="0"/>
          <w:color w:val="3A4A28"/>
          <w:sz w:val="17"/>
        </w:rPr>
        <w:t>Orion Group Holdings Leadership and Governance — CEO Travis Boone, CSR/Sustainability Report — oriongroupholdingsinc.com,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Orion Group Holdings FY2025 Annual Results and 2026 Guidance — Revenue $852.3M, Adj EBITDA $45.2M, 54% Growth Since 2021 — GlobeNewsWire, March 2026</w:t>
      </w:r>
    </w:p>
    <w:p>
      <w:pPr>
        <w:spacing w:before="20" w:after="20"/>
        <w:ind w:left="170"/>
      </w:pPr>
      <w:r>
        <w:rPr>
          <w:rFonts w:ascii="Calibri" w:hAnsi="Calibri"/>
          <w:b/>
          <w:color w:val="4A6B25"/>
          <w:sz w:val="15"/>
        </w:rPr>
        <w:t xml:space="preserve">5. </w:t>
      </w:r>
      <w:r>
        <w:rPr>
          <w:rFonts w:ascii="Calibri" w:hAnsi="Calibri"/>
          <w:b w:val="0"/>
          <w:color w:val="3A4A28"/>
          <w:sz w:val="17"/>
        </w:rPr>
        <w:t>Orion Group Holdings 'Who We Are' and Core Values — oriongroupholdingsinc.com, accessed September 2026</w:t>
      </w:r>
    </w:p>
    <w:p>
      <w:pPr>
        <w:spacing w:before="20" w:after="20"/>
        <w:ind w:left="170"/>
      </w:pPr>
      <w:r>
        <w:rPr>
          <w:rFonts w:ascii="Calibri" w:hAnsi="Calibri"/>
          <w:b/>
          <w:color w:val="4A6B25"/>
          <w:sz w:val="15"/>
        </w:rPr>
        <w:t xml:space="preserve">6. </w:t>
      </w:r>
      <w:r>
        <w:rPr>
          <w:rFonts w:ascii="Calibri" w:hAnsi="Calibri"/>
          <w:b w:val="0"/>
          <w:color w:val="3A4A28"/>
          <w:sz w:val="17"/>
        </w:rPr>
        <w:t>Yahoo Finance — ORN Key Statistics: Price $8.41, D/E 98.93%, ROE 2.27%, Forward P/E 18.69, PEG 28.96, Avg Volume 517K,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