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OTEX</w:t>
      </w:r>
      <w:r>
        <w:rPr>
          <w:rFonts w:ascii="Calibri" w:hAnsi="Calibri"/>
          <w:b/>
          <w:color w:val="1A2010"/>
          <w:sz w:val="40"/>
        </w:rPr>
        <w:t xml:space="preserve">  Open Text Corporation</w:t>
      </w:r>
    </w:p>
    <w:p>
      <w:pPr>
        <w:spacing w:after="120"/>
      </w:pPr>
      <w:r>
        <w:rPr>
          <w:rFonts w:ascii="Calibri" w:hAnsi="Calibri"/>
          <w:b/>
          <w:color w:val="6E8450"/>
          <w:sz w:val="18"/>
        </w:rPr>
        <w:t>DIVIDEND SLEEVE · 2026-09-12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NASDAQ · Canada</w:t>
      </w:r>
    </w:p>
    <w:p>
      <w:pPr>
        <w:spacing w:after="80"/>
      </w:pPr>
      <w:r>
        <w:rPr>
          <w:rFonts w:ascii="Calibri" w:hAnsi="Calibri"/>
          <w:b w:val="0"/>
          <w:color w:val="3A4A28"/>
          <w:sz w:val="20"/>
        </w:rPr>
        <w:t>Open Text Corporation designs, develops, and sells information management software and solutions globally, including content management, business network, cybersecurity, AI (Aviator suite), and IT operations management. Following the $5.8B Micro Focus acquisition in 2023 and subsequent divestitures, OpenText is repositioning around cloud and 'Information Management for AI' under new CEO Ayman Antoun (former IBM Americas President, appointed April 20, 2026), who replaced Mark Barrenechea after 13 years. FY2026 (ended June 2026) revenue was $5.246B (+1.5% YoY), cloud revenue reached $1.959B (+5.5%), and GAAP net income jumped 47.5% to $643M. The company returned a record $677M to shareholders and raised its dividend 5%.</w:t>
      </w:r>
    </w:p>
    <w:p>
      <w:r>
        <w:rPr>
          <w:rFonts w:ascii="Calibri" w:hAnsi="Calibri"/>
          <w:b/>
          <w:color w:val="6E8450"/>
          <w:sz w:val="18"/>
        </w:rPr>
        <w:t>19,900 Employees · https://www.opentext.com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OpenText posted 21 consecutive quarters of organic cloud growth, with FY2026 cloud revenue reaching $1.959B (+5.5% YoY) and content cloud up 22% in Q3, while divesting non-core assets (Vertica for $150M) to sharpen focus on cloud and AI [1][2]. The Micro Focus acquisition roughly doubled the company and the integration is delivering — FY2026 GAAP net income surged 47.5% to $643M and adjusted EBITDA reached $1.903B (36.3% margin), though total revenue grew only 1.5% reflecting on-premise decline offsetting cloud growth. AI Deployment (2/2): OpenText Aviator, a generative AI suite spanning content, experience, business network, IT operations, DevOps, and cybersecurity, is commercially live across all business pillars and management credits AI as a driver of cloud bookings growth exceeding 15% annually [2][3]. New CEO Antoun has framed the product portfolio as 'the foundation for training agentic AI,' though critics note some AI branding may be repositioning of existing products rather than breakthrough innovation. Market Share (1/2): Content management is OpenText's largest and fastest-growing cloud business, but the company competes against Microsoft (Copilot/SharePoint), Box, IBM, and other AI-native rivals without independent share data confirming leadership [2]. Product Pipeline (1/2): The €105M Irish investment creating 400 jobs and the new CEO's explicit AI-infrastructure strategy provide directional visibility, but no dated multi-year product roadmap with quantified AI revenue targets was disclosed. R&amp;D Intensity (0/1): No evidence found that OpenText's R&amp;D spend exceeds enterprise software industry peers on a relative basis.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CEO Antoun's positioning of OpenText as 'the foundation for training agentic AI' — claiming trusted enterprise data is essential to how economies and businesses operate — is more ambitious than predecessor Barrenechea's generic framing, but remains unproven and interchangeable with peer enterprise software marketing at this early stage (Antoun took the role only in April 2026) [2]. Community Impact (1/2): The Zero-In Initiative targeting net zero by 2040 and 50% gender parity, DJSI North America inclusion, and MSCI 'AAA' ESG rating reflect credible sustainability commitments, though not distinctively aligned with a larger purpose [4]. Employee Retention (0/2): Glassdoor reviews (3.2/5 across 5,599+ reviews) describe an 'awful' culture with extreme micromanagement — tracking badge swipes, monitoring cell phone spend, surveilling team chats — a legacy of Barrenechea's centralized control that the new CEO has not yet had time to remediate [3]. Headcount declined from 20,500 to 19,900 (600 jobs cut). Insider Buying (0/2): No evidence of net insider buying; CEO Antoun joined in April 2026, too recently to establish a conviction track record through open-market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(dividend-stock weighting). Forward P/E of 5.91x is exceptionally cheap against the 20x target, scoring a capped 1.0 — among the lowest valuations in enterprise software [1]. ROE of 16.19% now exceeds the 15% target, scoring 1.0, up from 12.9% as Micro Focus integration savings drive profitability improvement [1]. D/E of 149% scores 0.66 against the 70% target, improved from 159% as the company pays down acquisition debt. Revenue YoY of +1.5% scores 0.72 (modest organic growth), while 5yr revenue CAGR of ~11.1% (acquisition-boosted) scores 1.0. Profit margin of 12.26% scores 0.61, improved from 9.9% reflecting the 47.5% GAAP net income growth [1]. On dividend metrics: payout ratio of 43.41% scores 0.94 (improved from 53.9%), consecutive years paid (~13, 2x weight) and consecutive years growth (12) both score 1.0, and 5yr dividend growth CAGR of ~6% (2x weight) scores 1.0 [1]. Weighted composite: 10.93/12, rounding to 9. Liquidity well clear: ~$30.6M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OpenText's board showed real courage in removing the centralizing CEO/CTO Mark Barrenechea after 13 years and recruiting Ayman Antoun from IBM, and the company continues to rationalize its portfolio (Vertica divestiture) while sustaining cloud growth and returning a record $677M to shareholders [1]. But Glassdoor reviews revealing extreme micromanagement and surveillance-style employee monitoring, combined with a generic corporate purpose and an unproven new CEO, keep this in FINITE territory — a company making the right structural moves without yet having built the trust, cause, or cultural foundation Sinek requires for endurance.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New CEO Antoun's framing of OpenText as 'the foundation for training agentic AI' with trusted enterprise data essential to how economies and businesses operate is more ambitious than predecessor boilerplate, but is only months old and has not been validated by strategic decisions, crisis-tested leadership, or multi-decade consistency [2]. OpenText's 35-year history provides longevity but not a clearly articulated purpose that drives sacrifice — growth has been acquisition-led, not cause-driven.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(3.2/5 across 5,599+ ratings) describe 'bad leadership,' an 'awful' culture, and extreme micromanagement including tracking badge swipes, cell phone spend, and team chat monitoring — a clear low-trust environment that a few months of new leadership has not yet remediated [3]. Headcount fell from 20,500 to 19,900, suggesting cost-driven reductions rather than organizational empowerment. The centralized control culture under Barrenechea's 13-year tenure may take years to change.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OpenText leadership publicly framing Microsoft, Box, IBM, or Salesforce as worthy rivals whose strengths sharpen its own strategy. Historical competitive positioning centered on acquiring scale (Micro Focus for $5.8B) rather than acknowledging and learning from rivals' capabilities.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Divesting non-core Vertica for $150M while sustaining 21 consecutive quarters of organic cloud growth and repositioning around agentic AI infrastructure shows continued willingness to evolve the business [1][2]. The Micro Focus acquisition itself was a transformative bet, though its strategic logic (cost synergies, portfolio breadth) was more financial than existential. The cloud transition from on-premise licensing represents genuine business-model adaptation.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board's decision to remove a powerful, centralizing CEO/CTO after 13 years and bring in an outside AI-focused leader (Antoun, former IBM Americas President) rather than promote from within reflects genuine willingness to disrupt the status quo for long-term capability [3]. Returning a record $677M to shareholders while investing in the AI pivot and paying down debt shows disciplined capital allocation [1]. However, the company's growth-by-acquisition history (Micro Focus, Documentum, Guidance Solutions) prioritized financial engineering over organic innovation.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OpenText at 5.91x forward earnings is the cheapest enterprise software company of scale in the market, trading at a massive discount to peers while delivering improving profitability — FY2026 GAAP net income surged 47.5% to $643M ($2.58 EPS) on $5.246B revenue, adjusted EBITDA reached $1.903B (36.3% margin), and the company returned a record $677M to shareholders ($268M dividends + $409M buybacks) while raising the dividend 5% [1]. Cloud revenue of $1.959B (+5.5%) marked 21 consecutive quarters of organic cloud growth, and Aviator AI is deployed across all business pillars driving cloud bookings growth above 15% [2]. New CEO Ayman Antoun, a 35-year technology veteran from IBM, brings operational credibility to the 'foundation for agentic AI' repositioning. The 4.90% dividend yield with 12 consecutive years of growth, a 43.41% payout ratio, and ~6% 5-year dividend CAGR provide strong income support while the AI transformation plays out. ROE improved to 16.19% and D/E declined to 149% as acquisition debt is being methodically paid down [1].</w:t>
      </w:r>
    </w:p>
    <w:p>
      <w:pPr>
        <w:spacing w:after="120"/>
      </w:pPr>
      <w:r>
        <w:rPr>
          <w:rFonts w:ascii="Calibri" w:hAnsi="Calibri"/>
          <w:b w:val="0"/>
          <w:color w:val="3A4A28"/>
          <w:sz w:val="20"/>
        </w:rPr>
        <w:t>The bear case centers on growth, AI disruption, and culture. Total revenue grew only 1.5% in FY2026 — the 3-year revenue growth forecast is -2.11%, suggesting the market expects on-premise decline to outpace cloud growth, potentially compressing the multiple further rather than re-rating it [1]. Microsoft Copilot embedded in Office 365 and SharePoint represents the most direct AI threat to OpenText's core content management franchise — Microsoft can bundle AI-powered document intelligence at zero marginal cost to its 400M+ commercial Office users, undercutting OpenText's standalone value proposition [2]. Critics note that OpenText's AI strategy may be partly 'rebranding of existing products' rather than breakthrough innovation, and the company's growth-by-acquisition history (rather than organic R&amp;D) raises questions about innovation capacity [3]. Glassdoor culture ratings of 3.2/5 with reports of extreme micromanagement and employee surveillance remain a deep organizational liability that the new CEO has not yet had time to address, creating execution risk for the AI transformation [3]. An Altman Z-Score of 1.35 signals elevated financial distress risk despite the improving profitability metrics.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cloud revenue acceleration beyond 5.5% growth toward high-single-digit or double-digit organic cloud growth under CEO Antoun, demonstrating the AI repositioning is driving customer adoption and narrowing the gap to the 5.91x forward PE versus enterprise software peer multiples [1][2]</w:t>
      </w:r>
    </w:p>
    <w:p>
      <w:pPr>
        <w:spacing w:before="40" w:after="40"/>
        <w:ind w:left="283"/>
      </w:pPr>
      <w:r>
        <w:rPr>
          <w:rFonts w:ascii="Calibri" w:hAnsi="Calibri"/>
          <w:b/>
          <w:color w:val="4A6B25"/>
          <w:sz w:val="20"/>
        </w:rPr>
        <w:t xml:space="preserve">2. </w:t>
      </w:r>
      <w:r>
        <w:rPr>
          <w:rFonts w:ascii="Calibri" w:hAnsi="Calibri"/>
          <w:b w:val="0"/>
          <w:color w:val="3A4A28"/>
          <w:sz w:val="20"/>
        </w:rPr>
        <w:t>Aviator AI product traction measured by net-new cloud bookings conversion and customer expansion metrics, validating OpenText's 'foundation for agentic AI' positioning as genuine technology differentiation rather than marketing rebranding [2]</w:t>
      </w:r>
    </w:p>
    <w:p>
      <w:pPr>
        <w:spacing w:before="40" w:after="40"/>
        <w:ind w:left="283"/>
      </w:pPr>
      <w:r>
        <w:rPr>
          <w:rFonts w:ascii="Calibri" w:hAnsi="Calibri"/>
          <w:b/>
          <w:color w:val="4A6B25"/>
          <w:sz w:val="20"/>
        </w:rPr>
        <w:t xml:space="preserve">3. </w:t>
      </w:r>
      <w:r>
        <w:rPr>
          <w:rFonts w:ascii="Calibri" w:hAnsi="Calibri"/>
          <w:b w:val="0"/>
          <w:color w:val="3A4A28"/>
          <w:sz w:val="20"/>
        </w:rPr>
        <w:t>Culture transformation under new CEO Antoun that improves the 3.2/5 Glassdoor rating and reduces the micromanagement legacy, enabling talent retention needed to execute the AI strategy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Microsoft Copilot embedded in Office 365 and SharePoint could commoditize core content management workflows at scale — Microsoft's ability to bundle AI-powered document intelligence at zero marginal cost to 400M+ commercial users directly threatens OpenText's standalone value proposition [2]</w:t>
      </w:r>
    </w:p>
    <w:p>
      <w:pPr>
        <w:spacing w:before="40" w:after="40"/>
        <w:ind w:left="283"/>
      </w:pPr>
      <w:r>
        <w:rPr>
          <w:rFonts w:ascii="Calibri" w:hAnsi="Calibri"/>
          <w:b/>
          <w:color w:val="4A6B25"/>
          <w:sz w:val="20"/>
        </w:rPr>
        <w:t xml:space="preserve">2. </w:t>
      </w:r>
      <w:r>
        <w:rPr>
          <w:rFonts w:ascii="Calibri" w:hAnsi="Calibri"/>
          <w:b w:val="0"/>
          <w:color w:val="3A4A28"/>
          <w:sz w:val="20"/>
        </w:rPr>
        <w:t>Organic revenue stagnation — FY2026 total revenue grew only 1.5% and the 3-year forecast is -2.11%, suggesting on-premise declines may outpace cloud growth, creating a sustained top-line drag that the cheap valuation can't overcome [1]</w:t>
      </w:r>
    </w:p>
    <w:p>
      <w:pPr>
        <w:spacing w:before="40" w:after="40"/>
        <w:ind w:left="283"/>
      </w:pPr>
      <w:r>
        <w:rPr>
          <w:rFonts w:ascii="Calibri" w:hAnsi="Calibri"/>
          <w:b/>
          <w:color w:val="4A6B25"/>
          <w:sz w:val="20"/>
        </w:rPr>
        <w:t xml:space="preserve">3. </w:t>
      </w:r>
      <w:r>
        <w:rPr>
          <w:rFonts w:ascii="Calibri" w:hAnsi="Calibri"/>
          <w:b w:val="0"/>
          <w:color w:val="3A4A28"/>
          <w:sz w:val="20"/>
        </w:rPr>
        <w:t>Deep-rooted culture problems (3.2/5 Glassdoor rating, extreme micromanagement, employee surveillance) inherited from the prior CEO's 13-year centralized control model create talent and execution risk for the AI transformation that may take years to remediate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OpenText's legacy content management and information governance workflows face structural AI disruption risk from Microsoft Copilot, Google Workspace AI, and emerging document-intelligence startups that can automate search, classification, and compliance routing at lower cost [2]. The company's enterprise switching costs are high — customers have millions of documents and regulatory compliance workflows built on OpenText — but Microsoft's bundling strategy (Copilot embedded in Office 365/SharePoint) represents a uniquely dangerous competitive vector. New CEO Antoun's repositioning of OpenText as 'the foundation for training agentic AI' is strategically coherent but unproven, and critics note that some AI branding may be repositioning of existing products rather than genuine innovation [3]. This lands at the boundary between EXPOSED and PROTECTED. AI Opportunity (1/1): OpenText Aviator is commercially deployed across every business pillar (content, experience, business network, IT ops, cybersecurity), and management credits AI as a driver of cloud bookings growth exceeding 15% annually — a quantified, material AI contribution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StockAnalysis — OTEX Financial Metrics, Statistics: Stock Price $22.86, Forward P/E 5.91x, PE 8.94, ROE 16.19%, D/E 149%, Profit Margin 12.26%, Revenue $5.246B, Dividend 4.90% Yield, 12 Years Consecutive Growth, PEG 1.08, Avg Volume 1,337,762, accessed September 2026</w:t>
      </w:r>
    </w:p>
    <w:p>
      <w:pPr>
        <w:spacing w:before="20" w:after="20"/>
        <w:ind w:left="170"/>
      </w:pPr>
      <w:r>
        <w:rPr>
          <w:rFonts w:ascii="Calibri" w:hAnsi="Calibri"/>
          <w:b/>
          <w:color w:val="4A6B25"/>
          <w:sz w:val="15"/>
        </w:rPr>
        <w:t xml:space="preserve">2. </w:t>
      </w:r>
      <w:r>
        <w:rPr>
          <w:rFonts w:ascii="Calibri" w:hAnsi="Calibri"/>
          <w:b w:val="0"/>
          <w:color w:val="3A4A28"/>
          <w:sz w:val="17"/>
        </w:rPr>
        <w:t>OpenText FY2026 Full-Year and Q4 Earnings Release — Revenue $5.246B (+1.5%), Cloud Revenue $1.959B (+5.5%), GAAP Net Income $643M (+47.5%), Adjusted EBITDA $1.903B (36.3%), Record $677M Shareholder Returns, 5% Dividend Raise, August 2026</w:t>
      </w:r>
    </w:p>
    <w:p>
      <w:pPr>
        <w:spacing w:before="20" w:after="20"/>
        <w:ind w:left="170"/>
      </w:pPr>
      <w:r>
        <w:rPr>
          <w:rFonts w:ascii="Calibri" w:hAnsi="Calibri"/>
          <w:b/>
          <w:color w:val="4A6B25"/>
          <w:sz w:val="15"/>
        </w:rPr>
        <w:t xml:space="preserve">3. </w:t>
      </w:r>
      <w:r>
        <w:rPr>
          <w:rFonts w:ascii="Calibri" w:hAnsi="Calibri"/>
          <w:b w:val="0"/>
          <w:color w:val="3A4A28"/>
          <w:sz w:val="17"/>
        </w:rPr>
        <w:t>OpenText CEO Transition — Ayman Antoun Appointed CEO (April 20, 2026), Mark Barrenechea Removed After 13 Years; HyperFRAME Research — 'Why Did OpenText Fire Its CEO?'; Glassdoor Reviews (3.2/5, 5,599+ ratings), Micromanagement and Surveillance Reports; AI Strategy Criticism ('rebranding'), 2025-2026</w:t>
      </w:r>
    </w:p>
    <w:p>
      <w:pPr>
        <w:spacing w:before="20" w:after="20"/>
        <w:ind w:left="170"/>
      </w:pPr>
      <w:r>
        <w:rPr>
          <w:rFonts w:ascii="Calibri" w:hAnsi="Calibri"/>
          <w:b/>
          <w:color w:val="4A6B25"/>
          <w:sz w:val="15"/>
        </w:rPr>
        <w:t xml:space="preserve">4. </w:t>
      </w:r>
      <w:r>
        <w:rPr>
          <w:rFonts w:ascii="Calibri" w:hAnsi="Calibri"/>
          <w:b w:val="0"/>
          <w:color w:val="3A4A28"/>
          <w:sz w:val="17"/>
        </w:rPr>
        <w:t>OpenText Zero-In Initiative — Net Zero by 2040, 50% Gender Parity Target, DJSI North America, MSCI ESG 'AAA' Rating; Corporate Citizenship Report FY2023,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