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OTF</w:t>
      </w:r>
      <w:r>
        <w:rPr>
          <w:rFonts w:ascii="Calibri" w:hAnsi="Calibri"/>
          <w:b/>
          <w:color w:val="1A2010"/>
          <w:sz w:val="40"/>
        </w:rPr>
        <w:t xml:space="preserve">  Blue Owl Technology Finance Corp.</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Blue Owl Technology Finance Corp. is an externally managed Business Development Company (BDC) focused on direct lending to U.S. technology companies, primarily software businesses. The fund is managed by Blue Owl Capital (founded 2016 by Douglas Ostrover, Marc Lipschultz, and Craig Packer, formerly of GSO/Blackstone, KKR, and Goldman Sachs). OTF merged with Blue Owl Technology Finance Corp. II (OTF II) in March 2025, doubling the portfolio to $12.1B from $6.4B. As of Q2 2026, the portfolio comprised 205 companies at $14.7B fair value with just 0.1% non-accruals. The stock trades at $11.11, a 33% discount to NAV of $16.48, and pays a 10.91% dividend yield. Market cap is approximately $5.2B. Zero direct employees — all functions performed by the external manager.</w:t>
      </w:r>
    </w:p>
    <w:p>
      <w:r>
        <w:rPr>
          <w:rFonts w:ascii="Calibri" w:hAnsi="Calibri"/>
          <w:b/>
          <w:color w:val="6E8450"/>
          <w:sz w:val="18"/>
        </w:rPr>
        <w:t>https://www.blueowltechnologyfinance.com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OTF has grown into one of the largest technology-focused BDCs through the OTF II merger in March 2025, scaling the portfolio from $6.4B to $12.1B in a single transaction [3]. Q2 2026 generated $338M in total investment income and adjusted NII of $0.30 per share [1]. The 0.1% non-accrual rate across 205 portfolio companies is exceptional credit performance [1]. However, this growth was driven by financial engineering (merger) rather than organic portfolio expansion, and the 33% discount to NAV suggests the market questions the sustainability of returns. AI Deployment (0/2): OTF is a financial vehicle with no AI technology in its operations. Credit underwriting and portfolio monitoring are performed by Blue Owl Capital's investment professionals using traditional analytical methods [4]. Market Share (1/2): Blue Owl Technology Finance is among the largest technology-focused private credit platforms, with $14.7B in portfolio investments providing scale advantages in deal sourcing, syndication, and borrower relationships [1]. Blue Owl Capital's broader platform manages over $200B in AUM, providing significant deal flow and origination capabilities. Pipeline (1/2): Q2 2026 new investment commitments of $852M against sales and repayments of $222M demonstrate active deal flow and net portfolio growth [1]. The technology private credit market continues to expand as banks retreat from leveraged lending and AI infrastructure spending creates new financing needs [4]. R&amp;D Intensity (1/1): Not applicable in the traditional sense, but Blue Owl's investment in credit analytics, portfolio monitoring, and the proactive de-risking of AI-vulnerable software positions demonstrates analytical sophistication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Blue Owl's purpose — providing private credit to technology companies — is a functional financial intermediation mission without transformative or aspirational qualities [4]. The company does not articulate why providing capital to software companies serves a larger purpose beyond generating returns for shareholders. The externally managed structure means the BDC entity itself has no employees, no culture, and no organizational identity separate from Blue Owl Capital. Community Impact (0/2): Blue Owl Capital is a PRI signatory and incorporates ESG considerations into lending decisions, and has brought together 100+ portfolio company CFOs for collaboration events [4][5]. However, these activities are performed by the external manager for its own brand, not by OTF specifically. No evidence of community investment or social impact programs at the fund level. Employee Retention (0/2): OTF has zero direct employees — all functions are performed by Blue Owl Capital as external manager. This creates an inherent agency problem where the manager's interests (fee generation) may diverge from shareholders' interests (total return). The fund's identity and continuity depend entirely on the management agreement rather than organizational culture or employee commitment. Insider Buying (1/2): Blue Owl Capital's partners have significant economic exposure to OTF through their management fees and incentive structures, creating some alignment. However, no evidence of material open-market stock purchases by directors or the management team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financial metrics (Revenue Growth YoY, 5yr CAGR, and PEG excluded as BDC financial structure makes these metrics non-meaningful — merger-driven growth distorts YoY figures and BDCs do not have PEG ratios). OTF demonstrates strong financial fundamentals for a BDC: the Forward P/E equivalent (price/NII) of approximately 9.3x is well below the 20x target, reflecting the 33% discount to NAV [1][6]. Profit margin of 52% (NII/total investment income) far exceeds the 20% target, reflecting the spread business model where interest income exceeds funding costs [1]. D/E of 93% (net debt-to-equity 0.93x) is above the 70% target but conservative for BDC leverage (regulatory limit is 2.0x), scoring 0.90 [1]. ROE of approximately 8% (annualized NII on book equity) is below the 15% target, penalized at 2x weight for Growth classification. The stock clears the liquidity floor with ~1.95M shares daily volume at $11.11 (~$21.7M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Blue Owl Technology Finance operates with a predominantly finite mindset inherent to its structure — an externally managed BDC exists to generate returns and fees, not to advance a cause beyond the investment period [4]. The fund has no direct employees, no organizational culture independent of its manager, and its existence depends on a management agreement rather than a durable purpose. However, Blue Owl Capital's long-term orientation (founded by veterans of GSO/Blackstone, KKR, Goldman Sachs with multi-decade track records), proactive AI risk management, and portfolio company engagement (CFO collaboration events) suggest some elements of longer-term thinking within a fundamentally finite vehicle.</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BDCs are financial vehicles designed to generate income for shareholders through lending — a legitimate economic function but not a cause that inspires sacrifice or long-term commitment beyond returns [4]. Blue Owl's stated purpose is 'redefining alternatives,' which is a marketing tagline rather than a just cause. The fund's portfolio focus on technology companies provides capital that enables innovation, but this is an indirect and commercially motivated contribution to technological progress, not a cause the organization would pursue at the expense of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OTF's externally managed structure fundamentally limits organizational trust — the fund has zero direct employees, and all investment, compliance, and administrative functions are performed by Blue Owl Capital under a management agreement that generates fees regardless of stock price performance [4]. This creates an inherent agency problem. The board's role is oversight, not team-building. Blue Owl Capital itself has an experienced leadership team (founders from GSO, KKR, Goldman) and hosts portfolio company CFO collaboration events, suggesting some trust-building within the manager, but this does not extend to the BDC entity or its shareholders.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Blue Owl competes against major private credit platforms including Ares Capital, Golub Capital, and the direct lending arms of Blackstone, Apollo, and KKR [4]. The CEO's public commentary about AI disruption risk — acknowledging the same threats facing the entire private credit industry — reflects competitive awareness and willingness to learn from the broader market's experience rather than dismissing competitive intelligence. The firm's decision to proactively de-risk AI-vulnerable positions while competitors may not suggests learning from rival perspectives on technology risk.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OTF II merger in March 2025, doubling the portfolio from $6.4B to $12.1B, demonstrated willingness to fundamentally transform the fund's scale and competitive position [3]. The proactive rotation away from AI-vulnerable software borrowers toward AI-enabled and AI-infrastructure companies shows strategic adaptability within the portfolio. However, BDCs are structurally constrained — the fund must maintain its BDC tax status, cannot pivot into equity investing or other asset classes, and remains dependent on the management agreement with Blue Owl Capital. Existential flexibility is limited by regulatory and structural design.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Blue Owl's decision to publicly acknowledge and act on AI disruption risk to its software lending portfolio — while the industry has been slow to reprice this risk — shows analytical courage and willingness to sacrifice near-term deal volume for long-term portfolio quality [4]. The OTF II merger was a significant strategic decision that accepted integration complexity and NAV dilution risk for long-term scale advantages. However, the externally managed structure limits the scope for truly courageous decisions — the manager's incentive to grow AUM (generating higher fees) creates a bias toward portfolio expansion that may not always serve shareholder interests.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Blue Owl Technology Finance at $11.11 per share trades at a 33% discount to NAV of $16.48, offering a potential value opportunity in a high-quality technology lending platform with 10.91% dividend yield [1][6]. The portfolio of 205 technology companies at $14.7B fair value carries just 0.1% non-accruals, reflecting disciplined credit underwriting by Blue Owl Capital's experienced team (founders from GSO/Blackstone, KKR, Goldman Sachs) [1][4]. Q2 2026 adjusted NII of $0.30 per share supports the $0.40 quarterly dividend (including $0.05 special dividend), and the 67% payout ratio leaves a buffer for dividend coverage [1]. Blue Owl's proactive de-risking of AI-vulnerable software positions demonstrates portfolio management sophistication, and the pivot toward AI infrastructure lending captures the growing private credit opportunity from Big Tech's capital-intensive AI buildout [4]. The conservative 0.93x net debt-to-equity leverage (well below the 2.0x regulatory cap) provides balance sheet flexibility for deal origination. The Inspire Impact Score of 0 (MIXED) with zero negative attributions means it is not excluded by faith-based screens.</w:t>
      </w:r>
    </w:p>
    <w:p>
      <w:pPr>
        <w:spacing w:after="120"/>
      </w:pPr>
      <w:r>
        <w:rPr>
          <w:rFonts w:ascii="Calibri" w:hAnsi="Calibri"/>
          <w:b w:val="0"/>
          <w:color w:val="3A4A28"/>
          <w:sz w:val="20"/>
        </w:rPr>
        <w:t>The bear case centers on the 33% discount to NAV, which reflects legitimate market concerns about technology credit risk in the AI era. The portfolio's concentration in software company debt creates systemic exposure if AI disrupts traditional SaaS business models — default rates could spike during the 2028 refinancing wave that Blue Owl's CEO has specifically flagged as a risk [4][5]. The externally managed structure creates agency risk: Blue Owl Capital earns management fees on AUM regardless of stock price, incentivizing portfolio growth over quality. ROE of approximately 8% is below the cost of equity for a leveraged credit vehicle, suggesting the fund is not generating adequate returns on its risk profile. The OTF II merger doubled the portfolio but also increased exposure to the same risk factors and may have diluted portfolio quality by combining two separate underwriting tracks. Q2 2026 NII of $0.30 per share declined from Q1's $0.37, suggesting falling interest rates or credit margin compression could pressure future income. The fund's short public history limits the ability to assess performance through a full credit cycle, and private credit broadly faces scrutiny about valuation practices and hidden losses that surface only in stress scenarios [5]. At 0.67x NAV, the market is pricing in meaningful credit losses that have not yet materialized in the 0.1% non-accrual 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NAV discount closure from 0.67x to 0.85-1.0x as credit quality holds — if the 0.1% non-accrual rate persists through the 2028 refinancing wave and AI disruption proves less severe than feared, the stock could appreciate 25-50% to narrow the discount [1][6]</w:t>
      </w:r>
    </w:p>
    <w:p>
      <w:pPr>
        <w:spacing w:before="40" w:after="40"/>
        <w:ind w:left="283"/>
      </w:pPr>
      <w:r>
        <w:rPr>
          <w:rFonts w:ascii="Calibri" w:hAnsi="Calibri"/>
          <w:b/>
          <w:color w:val="4A6B25"/>
          <w:sz w:val="20"/>
        </w:rPr>
        <w:t xml:space="preserve">2. </w:t>
      </w:r>
      <w:r>
        <w:rPr>
          <w:rFonts w:ascii="Calibri" w:hAnsi="Calibri"/>
          <w:b w:val="0"/>
          <w:color w:val="3A4A28"/>
          <w:sz w:val="20"/>
        </w:rPr>
        <w:t>AI infrastructure lending opportunity as Big Tech's multi-hundred-billion-dollar capital buildout creates demand for private credit financing of data centers, GPU clusters, and supporting infrastructure — Blue Owl's technology focus positions it to capture this deal flow [4]</w:t>
      </w:r>
    </w:p>
    <w:p>
      <w:pPr>
        <w:spacing w:before="40" w:after="40"/>
        <w:ind w:left="283"/>
      </w:pPr>
      <w:r>
        <w:rPr>
          <w:rFonts w:ascii="Calibri" w:hAnsi="Calibri"/>
          <w:b/>
          <w:color w:val="4A6B25"/>
          <w:sz w:val="20"/>
        </w:rPr>
        <w:t xml:space="preserve">3. </w:t>
      </w:r>
      <w:r>
        <w:rPr>
          <w:rFonts w:ascii="Calibri" w:hAnsi="Calibri"/>
          <w:b w:val="0"/>
          <w:color w:val="3A4A28"/>
          <w:sz w:val="20"/>
        </w:rPr>
        <w:t>Interest rate stability or gradual declines improving portfolio company cash flows and reducing default risk, while OTF's predominantly floating-rate loan portfolio continues generating attractive spreads against a slowly declining rate backdrop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Software portfolio credit deterioration as AI disrupts traditional SaaS business models — Blue Owl's CEO has flagged 2028 as a critical refinancing moment, and the 0.1% non-accrual rate may not survive if AI-displaced software companies cannot refinance maturing loans [4][5]</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structure creates misaligned incentives where Blue Owl Capital earns fees on AUM growth regardless of stock price performance, potentially incentivizing aggressive portfolio expansion over conservative credit selection [4]</w:t>
      </w:r>
    </w:p>
    <w:p>
      <w:pPr>
        <w:spacing w:before="40" w:after="40"/>
        <w:ind w:left="283"/>
      </w:pPr>
      <w:r>
        <w:rPr>
          <w:rFonts w:ascii="Calibri" w:hAnsi="Calibri"/>
          <w:b/>
          <w:color w:val="4A6B25"/>
          <w:sz w:val="20"/>
        </w:rPr>
        <w:t xml:space="preserve">3. </w:t>
      </w:r>
      <w:r>
        <w:rPr>
          <w:rFonts w:ascii="Calibri" w:hAnsi="Calibri"/>
          <w:b w:val="0"/>
          <w:color w:val="3A4A28"/>
          <w:sz w:val="20"/>
        </w:rPr>
        <w:t>NII per share declined from $0.37 (Q1) to $0.30 (Q2), and falling interest rates or credit spread compression could reduce income below the $0.40 quarterly dividend, forcing a dividend cut that would trigger further stock price declines in a yield-dependent shareholder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OTF's direct lending business model is not directly disrupted by AI — credit underwriting, loan origination, and portfolio management require human judgment, institutional relationships, and legal frameworks that AI cannot replace near-term [4]. However, OTF faces significant INDIRECT AI disruption risk through its portfolio: the fund is concentrated in software company debt, and AI disruption of traditional SaaS business models could increase default rates and impair credit quality. Blue Owl CEO Marc Lipschultz has acknowledged this risk, stating the firm is 'working down exposure to software firms potentially at risk of AI disruption' ahead of a 2028 refinancing wave [4]. The proactive portfolio rotation is positive but confirms the risk is real. The 0.1% non-accrual rate is currently excellent, but Blackstone CFO Michael Chae has cautioned about 'technology risk that may not have been fully priced in or contemplated as recently as 12 months ago' [5]. AI Opportunity (1/1): Blue Owl CEO explicitly cited Big Tech's AI spending as a 'significant opportunity for private credit,' as AI infrastructure buildout (data centers, GPU clusters, networking) creates massive capital needs that private credit can finance [4]. OTF can pivot its lending toward AI-enabled and AI-infrastructure companies, turning disruption into deal flow.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Blue Owl Technology Finance Q2 2026 Earnings Release — Total Investment Income $338M, Adjusted NII $0.30/share, NAV $16.48, Net D/E 0.93x, New Commitments $852M, Non-Accruals 0.1%, August 2026</w:t>
      </w:r>
    </w:p>
    <w:p>
      <w:pPr>
        <w:spacing w:before="20" w:after="20"/>
        <w:ind w:left="170"/>
      </w:pPr>
      <w:r>
        <w:rPr>
          <w:rFonts w:ascii="Calibri" w:hAnsi="Calibri"/>
          <w:b/>
          <w:color w:val="4A6B25"/>
          <w:sz w:val="15"/>
        </w:rPr>
        <w:t xml:space="preserve">2. </w:t>
      </w:r>
      <w:r>
        <w:rPr>
          <w:rFonts w:ascii="Calibri" w:hAnsi="Calibri"/>
          <w:b w:val="0"/>
          <w:color w:val="3A4A28"/>
          <w:sz w:val="17"/>
        </w:rPr>
        <w:t>Blue Owl Technology Finance Q1 2026 Earnings Release — Revenue $326M, GAAP NII $171.3M ($0.37/share), NAV $16.49, May 2026</w:t>
      </w:r>
    </w:p>
    <w:p>
      <w:pPr>
        <w:spacing w:before="20" w:after="20"/>
        <w:ind w:left="170"/>
      </w:pPr>
      <w:r>
        <w:rPr>
          <w:rFonts w:ascii="Calibri" w:hAnsi="Calibri"/>
          <w:b/>
          <w:color w:val="4A6B25"/>
          <w:sz w:val="15"/>
        </w:rPr>
        <w:t xml:space="preserve">3. </w:t>
      </w:r>
      <w:r>
        <w:rPr>
          <w:rFonts w:ascii="Calibri" w:hAnsi="Calibri"/>
          <w:b w:val="0"/>
          <w:color w:val="3A4A28"/>
          <w:sz w:val="17"/>
        </w:rPr>
        <w:t>Blue Owl Technology Finance — OTF II Merger (March 2025), Portfolio Doubled to $12.1B, 205 Portfolio Companies at $14.7B Fair Value — SEC Filings, PRNewswire, 2025-2026</w:t>
      </w:r>
    </w:p>
    <w:p>
      <w:pPr>
        <w:spacing w:before="20" w:after="20"/>
        <w:ind w:left="170"/>
      </w:pPr>
      <w:r>
        <w:rPr>
          <w:rFonts w:ascii="Calibri" w:hAnsi="Calibri"/>
          <w:b/>
          <w:color w:val="4A6B25"/>
          <w:sz w:val="15"/>
        </w:rPr>
        <w:t xml:space="preserve">4. </w:t>
      </w:r>
      <w:r>
        <w:rPr>
          <w:rFonts w:ascii="Calibri" w:hAnsi="Calibri"/>
          <w:b w:val="0"/>
          <w:color w:val="3A4A28"/>
          <w:sz w:val="17"/>
        </w:rPr>
        <w:t>Blue Owl Capital Leadership and AI Strategy — CEO Marc Lipschultz on AI Infrastructure Lending Opportunity, De-Risking AI-Vulnerable Software Positions, Founders from GSO/Blackstone/KKR/Goldman — Yahoo Finance, Blue Owl Corporate,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Blue Owl ESG and Credit Quality — PRI Signatory, ESG Integration, Private Credit Industry Concerns (Blackstone CFO Comments), Market Financial Solutions Collapse — KBRA, MarketScreener, Blue Owl Sustainability Report,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Morningstar — OTF Key Statistics: Stock Price $11.11, NAV $16.48 (0.67x P/NAV), Dividend Yield 10.91%, Payout 67.4%, Avg Volume 1.95M, Market Cap $5.2B,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