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371600" cy="72322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7232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40"/>
      </w:pPr>
      <w:r>
        <w:rPr>
          <w:rFonts w:ascii="Calibri" w:hAnsi="Calibri"/>
          <w:b/>
          <w:color w:val="4A6B25"/>
          <w:sz w:val="56"/>
        </w:rPr>
        <w:t>OTLK</w:t>
      </w:r>
      <w:r>
        <w:rPr>
          <w:rFonts w:ascii="Calibri" w:hAnsi="Calibri"/>
          <w:b/>
          <w:color w:val="1A2010"/>
          <w:sz w:val="40"/>
        </w:rPr>
        <w:t xml:space="preserve">  Outlook Therapeutics, Inc.</w:t>
      </w:r>
    </w:p>
    <w:p>
      <w:pPr>
        <w:spacing w:after="120"/>
      </w:pPr>
      <w:r>
        <w:rPr>
          <w:rFonts w:ascii="Calibri" w:hAnsi="Calibri"/>
          <w:b/>
          <w:color w:val="6E8450"/>
          <w:sz w:val="18"/>
        </w:rPr>
        <w:t>GROWTH SLEEVE · 2026-08-26 · Inspire: 21 · FINITE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1200" w:type="dxa"/>
      </w:tblPr>
      <w:tblGrid>
        <w:gridCol w:w="10800"/>
      </w:tblGrid>
      <w:tr>
        <w:tc>
          <w:tcPr>
            <w:tcW w:type="dxa" w:w="10800"/>
            <w:shd w:fill="E3F2FD" w:val="clea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2563EB"/>
                <w:sz w:val="20"/>
              </w:rPr>
              <w:t>WATCH</w:t>
            </w:r>
          </w:p>
        </w:tc>
      </w:tr>
    </w:tbl>
    <w:p>
      <w:pPr>
        <w:spacing w:before="120" w:after="200"/>
      </w:pPr>
      <w:r>
        <w:rPr>
          <w:rFonts w:ascii="Calibri" w:hAnsi="Calibri"/>
          <w:b/>
          <w:color w:val="1A2010"/>
          <w:sz w:val="80"/>
        </w:rPr>
        <w:t>44</w:t>
      </w:r>
      <w:r>
        <w:rPr>
          <w:rFonts w:ascii="Calibri" w:hAnsi="Calibri"/>
          <w:b w:val="0"/>
          <w:color w:val="9DAF88"/>
          <w:sz w:val="28"/>
        </w:rPr>
        <w:t xml:space="preserve"> / </w:t>
      </w:r>
      <w:r>
        <w:rPr>
          <w:rFonts w:ascii="Calibri" w:hAnsi="Calibri"/>
          <w:b w:val="0"/>
          <w:color w:val="9DAF88"/>
          <w:sz w:val="24"/>
        </w:rPr>
        <w:t>100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COMPANY PROFILE</w:t>
            </w:r>
          </w:p>
        </w:tc>
      </w:tr>
    </w:tbl>
    <w:p>
      <w:r>
        <w:rPr>
          <w:rFonts w:ascii="Calibri" w:hAnsi="Calibri"/>
          <w:b/>
          <w:color w:val="6E8450"/>
          <w:sz w:val="18"/>
        </w:rPr>
        <w:t>Healthcare · Biotechnology · NASDAQ · United States</w:t>
      </w:r>
    </w:p>
    <w:p>
      <w:pPr>
        <w:spacing w:after="80"/>
      </w:pPr>
      <w:r>
        <w:rPr>
          <w:rFonts w:ascii="Calibri" w:hAnsi="Calibri"/>
          <w:b w:val="0"/>
          <w:color w:val="3A4A28"/>
          <w:sz w:val="20"/>
        </w:rPr>
        <w:t>Outlook Therapeutics is a commercial-stage biopharmaceutical company focused on ONS-5010/LYTENAVA (bevacizumab-vikg), the first FDA-approved ophthalmic formulation of bevacizumab for treating wet age-related macular degeneration and other retinal diseases, after years of prior Complete Response Letters [1]. The company is targeting a U.S. launch by year-end 2026 with guided first-year net revenue of $50-75 million and a longer-term goal exceeding $500 million in annual U.S. sales by 2030, while its European LYTENAVA business generates modest, volatile unit sales. New CEO Bob Jahr, a 20-year biopharma commercial veteran, was appointed to lead the U.S. launch [2], but the company carries substantial going-concern doubt with a nine-month net loss of $47.8 million and heavy shareholder dilution from repeated capital raises [3].</w:t>
      </w:r>
    </w:p>
    <w:p>
      <w:r>
        <w:rPr>
          <w:rFonts w:ascii="Calibri" w:hAnsi="Calibri"/>
          <w:b/>
          <w:color w:val="6E8450"/>
          <w:sz w:val="18"/>
        </w:rPr>
        <w:t>17 Employees · https://outlooktherapeutics.com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16A34A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EXCELLENCE EVALUATION — THINK LIKE AN OWNER (50%)</w:t>
            </w:r>
          </w:p>
        </w:tc>
      </w:tr>
    </w:tbl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Innovation</w:t>
      </w:r>
      <w:r>
        <w:rPr>
          <w:rFonts w:ascii="Calibri" w:hAnsi="Calibri"/>
          <w:b w:val="0"/>
          <w:color w:val="1A2010"/>
          <w:sz w:val="22"/>
        </w:rPr>
        <w:t xml:space="preserve">  </w:t>
      </w:r>
      <w:r>
        <w:rPr>
          <w:rFonts w:ascii="Calibri" w:hAnsi="Calibri"/>
          <w:b/>
          <w:color w:val="16A34A"/>
          <w:sz w:val="16"/>
        </w:rPr>
        <w:t xml:space="preserve"> STRONG </w:t>
      </w:r>
    </w:p>
    <w:p>
      <w:pPr>
        <w:spacing w:before="0" w:after="40"/>
      </w:pPr>
      <w:r>
        <w:rPr>
          <w:rFonts w:ascii="Calibri" w:hAnsi="Calibri"/>
          <w:b/>
          <w:color w:val="16A34A"/>
          <w:sz w:val="28"/>
        </w:rPr>
        <w:t>7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3858"/>
            <w:shd w:fill="16A34A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1654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Track Record (3/3): FDA approval of LYTENAVA — the first-ever approved ophthalmic bevacizumab formulation — is a transformative milestone that converts Outlook from a clinical-stage company (after multiple prior Complete Response Letters) into a commercial-stage company with an on-label alternative to costly branded anti-VEGF therapies [1]. AI Deployment (0/2): No evidence of AI product deployment or AI-driven efficiency gains was found. Market Share (2/2): LYTENAVA is explicitly described as 'the only FDA-approved ophthalmic bevacizumab,' a specific, sourced category-defining claim relative to off-label compounded Avastin and branded competitors [1]. Product Pipeline (2/2): Management has issued specific, dated revenue guidance — $50M-$75M in the first 12 months of U.S. launch (~10% in the first quarter, ~50% in the fourth), with a path to over $500M in annual U.S. sales by 2030 [1]. R&amp;D Intensity (0/1): No R&amp;D-to-revenue data or peer comparison was found; with only 17 full-time employees, spending is concentrated on commercialization rather than a broad R&amp;D program.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Inspiration</w:t>
      </w:r>
      <w:r>
        <w:rPr>
          <w:rFonts w:ascii="Calibri" w:hAnsi="Calibri"/>
          <w:b w:val="0"/>
          <w:color w:val="1A2010"/>
          <w:sz w:val="22"/>
        </w:rPr>
        <w:t xml:space="preserve">  </w:t>
      </w:r>
      <w:r>
        <w:rPr>
          <w:rFonts w:ascii="Calibri" w:hAnsi="Calibri"/>
          <w:b/>
          <w:color w:val="DC2626"/>
          <w:sz w:val="16"/>
        </w:rPr>
        <w:t xml:space="preserve"> WEAK </w:t>
      </w:r>
    </w:p>
    <w:p>
      <w:pPr>
        <w:spacing w:before="0" w:after="40"/>
      </w:pPr>
      <w:r>
        <w:rPr>
          <w:rFonts w:ascii="Calibri" w:hAnsi="Calibri"/>
          <w:b/>
          <w:color w:val="DC2626"/>
          <w:sz w:val="28"/>
        </w:rPr>
        <w:t>3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1654"/>
            <w:shd w:fill="DC2626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3858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Mission Floor (3/4): Outlook Therapeutics' purpose — providing an FDA-approved, standardized, more affordable bevacizumab option for retinal disease patients who have historically relied on off-label compounded Avastin or expensive branded alternatives — is specific and thoughtful, directly targeting a patient affordability and access gap, externally corroborated by the company's Inspire 'Product Access and Affordability' attribution. Community Impact (0/2): No evidence of charitable programs or community investment was found. Employee Retention (0/2): With only 17 full-time employees and no published tenure/turnover data, no retention evidence exists either way. Insider Buying (0/2): No evidence of net insider buying was found; the company has instead relied on repeated dilutive capital raises (187M+ shares outstanding plus 40.35M warrants and 6.2M options as of June 2026) [3].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Infrastructure</w:t>
      </w:r>
      <w:r>
        <w:rPr>
          <w:rFonts w:ascii="Calibri" w:hAnsi="Calibri"/>
          <w:b w:val="0"/>
          <w:color w:val="1A2010"/>
          <w:sz w:val="22"/>
        </w:rPr>
        <w:t xml:space="preserve">  </w:t>
      </w:r>
      <w:r>
        <w:rPr>
          <w:rFonts w:ascii="Calibri" w:hAnsi="Calibri"/>
          <w:b/>
          <w:color w:val="DC2626"/>
          <w:sz w:val="16"/>
        </w:rPr>
        <w:t xml:space="preserve"> WEAK </w:t>
      </w:r>
    </w:p>
    <w:p>
      <w:pPr>
        <w:spacing w:before="0" w:after="40"/>
      </w:pPr>
      <w:r>
        <w:rPr>
          <w:rFonts w:ascii="Calibri" w:hAnsi="Calibri"/>
          <w:b/>
          <w:color w:val="DC2626"/>
          <w:sz w:val="28"/>
        </w:rPr>
        <w:t>0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55"/>
            <w:shd w:fill="DC2626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5457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Mechanically scored on available metrics as a Growth-sleeve stock. Debt-to-equity, ROE, and Forward PEG are unavailable (null) and excluded from scoring; Forward P/E of -4.57x is also excluded as economically not meaningful given the company has no positive forward earnings. Of the two remaining scorable metrics, revenue growth YoY of -99.4% (pre-commercial-launch revenue base essentially collapsing year-over-year) floors at 0, and profit margin of 0.0% also floors at 0, yielding an Infrastructure score of 0/10 even before considering the going-concern doubt disclosed in the company's most recent 10-Q (nine-month net loss of $47.8M, cash used in operations of $43.8M against an $11.2M cash balance) [3]. The liquidity floor is not triggered — average daily volume of ~26.9M shares at $0.64 clears roughly $17.2M in daily dollar volume, well above the $1M threshold — but the underlying financial metrics reflect a pre-revenue-inflection company with no current profitability signal.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16A34A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FINITE VS INFINITE GAME — SINEK (25%)</w:t>
            </w:r>
          </w:p>
        </w:tc>
      </w:tr>
    </w:tbl>
    <w:p>
      <w:pPr>
        <w:spacing w:after="40"/>
      </w:pPr>
      <w:r>
        <w:rPr>
          <w:rFonts w:ascii="Calibri" w:hAnsi="Calibri"/>
          <w:b w:val="0"/>
          <w:color w:val="6E8450"/>
          <w:sz w:val="22"/>
        </w:rPr>
        <w:t xml:space="preserve">Mindset: </w:t>
      </w:r>
      <w:r>
        <w:rPr>
          <w:rFonts w:ascii="Calibri" w:hAnsi="Calibri"/>
          <w:b/>
          <w:color w:val="DC2626"/>
          <w:sz w:val="22"/>
        </w:rPr>
        <w:t>FINITE</w:t>
      </w:r>
      <w:r>
        <w:rPr>
          <w:rFonts w:ascii="Calibri" w:hAnsi="Calibri"/>
          <w:b w:val="0"/>
          <w:color w:val="6E8450"/>
          <w:sz w:val="22"/>
        </w:rPr>
        <w:t xml:space="preserve">      Overall: </w:t>
      </w:r>
      <w:r>
        <w:rPr>
          <w:rFonts w:ascii="Calibri" w:hAnsi="Calibri"/>
          <w:b/>
          <w:color w:val="DC2626"/>
          <w:sz w:val="28"/>
        </w:rPr>
        <w:t>3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p>
      <w:pPr>
        <w:spacing w:after="120"/>
      </w:pPr>
      <w:r>
        <w:rPr>
          <w:rFonts w:ascii="Calibri" w:hAnsi="Calibri"/>
          <w:b w:val="0"/>
          <w:color w:val="3A4A28"/>
          <w:sz w:val="18"/>
        </w:rPr>
        <w:t>Outlook Therapeutics shows a genuine, patient-access-oriented cause and real perseverance — the company pursued FDA approval for ONS-5010/LYTENAVA through multiple prior Complete Response Letters over several years before finally succeeding — but the organization itself shows signs of finite-game strain: frequent CEO turnover (interim CEO to new hire Bob Jahr), a tiny 17-person team, no diversification beyond a single asset, and going-concern doubt that has forced repeated dilutive financings just to survive to commercial launch.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Just Cause</w:t>
      </w:r>
    </w:p>
    <w:p>
      <w:pPr>
        <w:spacing w:before="0" w:after="40"/>
      </w:pPr>
      <w:r>
        <w:rPr>
          <w:rFonts w:ascii="Calibri" w:hAnsi="Calibri"/>
          <w:b/>
          <w:color w:val="16A34A"/>
          <w:sz w:val="28"/>
        </w:rPr>
        <w:t>7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3858"/>
            <w:shd w:fill="16A34A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1654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Just Cause (2/3): The goal of delivering a consistent, FDA-approved, more affordable bevacizumab option for retinal disease patients — replacing reliance on off-label compounded Avastin — is a genuine, service-oriented, patient-focused cause that the company pursued despite years of regulatory setbacks, but it has not yet been tested by sustained commercial execution or survived a full crisis cycle given the company's ongoing going-concern doubt [1][3].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Trusting Teams</w:t>
      </w:r>
    </w:p>
    <w:p>
      <w:pPr>
        <w:spacing w:before="0" w:after="40"/>
      </w:pPr>
      <w:r>
        <w:rPr>
          <w:rFonts w:ascii="Calibri" w:hAnsi="Calibri"/>
          <w:b/>
          <w:color w:val="DC2626"/>
          <w:sz w:val="28"/>
        </w:rPr>
        <w:t>2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1102"/>
            <w:shd w:fill="DC2626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4409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Trusting Teams (0/2): The company has cycled through CEO leadership (interim CEO Lawrence Kenyon transitioning back to CFO, new CEO Bob Jahr appointed) amid severe financial stress with only 17 full-time employees, with no tenure or retention data suggesting organizational stability [2][3].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Worthy Rivals</w:t>
      </w:r>
    </w:p>
    <w:p>
      <w:pPr>
        <w:spacing w:before="0" w:after="40"/>
      </w:pPr>
      <w:r>
        <w:rPr>
          <w:rFonts w:ascii="Calibri" w:hAnsi="Calibri"/>
          <w:b/>
          <w:color w:val="DC2626"/>
          <w:sz w:val="28"/>
        </w:rPr>
        <w:t>3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1654"/>
            <w:shd w:fill="DC2626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3858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Worthy Rivals (0/1): No evidence of collaborative or self-improvement competitive language toward branded anti-VEGF rivals (Lucentis, Eylea, Vabysmo) or off-label Avastin use was found in available research.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Existential Flexibility</w:t>
      </w:r>
    </w:p>
    <w:p>
      <w:pPr>
        <w:spacing w:before="0" w:after="40"/>
      </w:pPr>
      <w:r>
        <w:rPr>
          <w:rFonts w:ascii="Calibri" w:hAnsi="Calibri"/>
          <w:b/>
          <w:color w:val="DC2626"/>
          <w:sz w:val="28"/>
        </w:rPr>
        <w:t>2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1102"/>
            <w:shd w:fill="DC2626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4409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Existential Flexibility (0/2): Outlook has remained singularly focused on ONS-5010/LYTENAVA as its core (effectively only) program throughout its history, with no evidence of business-model diversification or a transformative pivot away from this single-asset dependency.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Courage To Lead</w:t>
      </w:r>
    </w:p>
    <w:p>
      <w:pPr>
        <w:spacing w:before="0" w:after="40"/>
      </w:pPr>
      <w:r>
        <w:rPr>
          <w:rFonts w:ascii="Calibri" w:hAnsi="Calibri"/>
          <w:b/>
          <w:color w:val="B8860B"/>
          <w:sz w:val="28"/>
        </w:rPr>
        <w:t>6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3307"/>
            <w:shd w:fill="B8860B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2205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Courage to Lead (1/2): Persisting through multiple FDA Complete Response Letters over several years — continuing to invest in the ONS-5010/LYTENAVA program rather than abandoning it despite mounting cash burn and shareholder dilution — reflects a real, costly commitment to the underlying cause, though it is a single sustained bet rather than a demonstrated pattern of repeated courageous capital allocation decisions [1][3].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INVESTMENT THESIS</w:t>
            </w:r>
          </w:p>
        </w:tc>
      </w:tr>
    </w:tbl>
    <w:p>
      <w:pPr>
        <w:spacing w:after="120"/>
      </w:pPr>
      <w:r>
        <w:rPr>
          <w:rFonts w:ascii="Calibri" w:hAnsi="Calibri"/>
          <w:b w:val="0"/>
          <w:color w:val="3A4A28"/>
          <w:sz w:val="20"/>
        </w:rPr>
        <w:t>Outlook Therapeutics has cleared the single hardest hurdle for a small-cap biotech: FDA approval of LYTENAVA, the first-ever approved ophthalmic bevacizumab, after years of prior rejections [1]. Management has issued specific, credible-looking revenue guidance of $50-75 million in the first 12 months of the U.S. launch (targeting year-end 2026), with a longer-term ambition of over $500 million in annual U.S. sales by 2030, addressing genuine patient demand for an affordable, standardized alternative to costly branded anti-VEGF therapies and off-label compounded Avastin. New CEO Bob Jahr brings 20 years of biopharma commercial launch experience, and the AI Resilience profile is exceptionally strong (8/9 risk protection) since an approved biologic drug cannot be replicated or disrupted by AI tools.</w:t>
      </w:r>
    </w:p>
    <w:p>
      <w:pPr>
        <w:spacing w:after="120"/>
      </w:pPr>
      <w:r>
        <w:rPr>
          <w:rFonts w:ascii="Calibri" w:hAnsi="Calibri"/>
          <w:b w:val="0"/>
          <w:color w:val="3A4A28"/>
          <w:sz w:val="20"/>
        </w:rPr>
        <w:t>The bear case is severe and near-term existential: the company disclosed substantial going-concern doubt in its most recent 10-Q, with a nine-month net loss of $47.8 million, $43.8 million in cash used in operations, and only $11.2 million in cash as of March 31, 2026 (before an April 2026 raise) [3]. Shareholder dilution has been extreme — 187 million shares outstanding plus 40.35 million warrants and 6.2 million options — and shares fell roughly 46.5% following the FDA approval itself as investors digested the scope of a freshly completed capital raise, a highly unusual reaction that signals deep market skepticism about the company's ability to fund the launch without further dilution. European LYTENAVA unit sales actually declined ~10% quarter-over-quarter before a recent uptick, an early and mixed signal for commercial execution ahead of the far larger U.S. opportunity. Infrastructure scores at the floor (0/10) given negative revenue growth and zero profit margin, and Infinite Game evidence is thin — a tiny 17-person team, CEO turnover, and single-asset dependency leave little margin for error.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16A34A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KEY CATALYSTS</w:t>
            </w:r>
          </w:p>
        </w:tc>
      </w:tr>
    </w:tbl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1. </w:t>
      </w:r>
      <w:r>
        <w:rPr>
          <w:rFonts w:ascii="Calibri" w:hAnsi="Calibri"/>
          <w:b w:val="0"/>
          <w:color w:val="3A4A28"/>
          <w:sz w:val="20"/>
        </w:rPr>
        <w:t>U.S. commercial launch of LYTENAVA by year-end 2026, with management-guided first-year net revenue of $50-75 million providing a near-term proof point for the commercialization thesis [1]</w:t>
      </w:r>
    </w:p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2. </w:t>
      </w:r>
      <w:r>
        <w:rPr>
          <w:rFonts w:ascii="Calibri" w:hAnsi="Calibri"/>
          <w:b w:val="0"/>
          <w:color w:val="3A4A28"/>
          <w:sz w:val="20"/>
        </w:rPr>
        <w:t>Stabilization or recovery in European LYTENAVA unit sales, which had declined ~10% quarter-over-quarter before trending upward early in the current quarter [1]</w:t>
      </w:r>
    </w:p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3. </w:t>
      </w:r>
      <w:r>
        <w:rPr>
          <w:rFonts w:ascii="Calibri" w:hAnsi="Calibri"/>
          <w:b w:val="0"/>
          <w:color w:val="3A4A28"/>
          <w:sz w:val="20"/>
        </w:rPr>
        <w:t>New CEO Bob Jahr's 20 years of biopharma commercial launch experience translating into an effective U.S. sales force build-out and payer access strategy [2]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DC2626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KEY RISKS</w:t>
            </w:r>
          </w:p>
        </w:tc>
      </w:tr>
    </w:tbl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1. </w:t>
      </w:r>
      <w:r>
        <w:rPr>
          <w:rFonts w:ascii="Calibri" w:hAnsi="Calibri"/>
          <w:b w:val="0"/>
          <w:color w:val="3A4A28"/>
          <w:sz w:val="20"/>
        </w:rPr>
        <w:t>Going-concern doubt disclosed in the company's most recent 10-Q, with $43.8M in nine-month operating cash burn against an $11.2M cash balance, creating dependence on additional dilutive financing to fund the U.S. launch [3]</w:t>
      </w:r>
    </w:p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2. </w:t>
      </w:r>
      <w:r>
        <w:rPr>
          <w:rFonts w:ascii="Calibri" w:hAnsi="Calibri"/>
          <w:b w:val="0"/>
          <w:color w:val="3A4A28"/>
          <w:sz w:val="20"/>
        </w:rPr>
        <w:t>Extreme and ongoing shareholder dilution — 187M shares outstanding plus over 46M warrants/options — with shares falling ~46.5% post-FDA-approval as the market absorbed the scope of a fresh capital raise, signaling limited investor confidence in near-term funding stability [3]</w:t>
      </w:r>
    </w:p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3. </w:t>
      </w:r>
      <w:r>
        <w:rPr>
          <w:rFonts w:ascii="Calibri" w:hAnsi="Calibri"/>
          <w:b w:val="0"/>
          <w:color w:val="3A4A28"/>
          <w:sz w:val="20"/>
        </w:rPr>
        <w:t>Single-asset concentration risk — the entire investment case rests on LYTENAVA's U.S. commercial execution, with no pipeline diversification to fall back on if launch uptake disappoints relative to the $50-75M guided range [1]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AI RESILIENCE (25%)</w:t>
            </w:r>
          </w:p>
        </w:tc>
      </w:tr>
    </w:tbl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AI Resilience</w:t>
      </w:r>
      <w:r>
        <w:rPr>
          <w:rFonts w:ascii="Calibri" w:hAnsi="Calibri"/>
          <w:b w:val="0"/>
          <w:color w:val="1A2010"/>
          <w:sz w:val="22"/>
        </w:rPr>
        <w:t xml:space="preserve">  </w:t>
      </w:r>
      <w:r>
        <w:rPr>
          <w:rFonts w:ascii="Calibri" w:hAnsi="Calibri"/>
          <w:b/>
          <w:color w:val="16A34A"/>
          <w:sz w:val="16"/>
        </w:rPr>
        <w:t xml:space="preserve"> LOW RISK </w:t>
      </w:r>
    </w:p>
    <w:p>
      <w:pPr>
        <w:spacing w:before="0" w:after="40"/>
      </w:pPr>
      <w:r>
        <w:rPr>
          <w:rFonts w:ascii="Calibri" w:hAnsi="Calibri"/>
          <w:b/>
          <w:color w:val="16A34A"/>
          <w:sz w:val="28"/>
        </w:rPr>
        <w:t>8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4409"/>
            <w:shd w:fill="16A34A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1102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AI Risk Protection (8/9): Outlook's core business — an FDA-approved biologic drug requiring clinical development, GMP manufacturing, and regulatory approval — is structurally immune to AI substitution; no generative or agentic AI tool can replicate an approved on-label biologic therapy or the manufacturing/quality infrastructure behind it. No analyst commentary in research raised AI disruption risk for this company. AI Opportunity (0/1): No evidence of AI-attributable revenue or efficiency gains was found; the company's near-term priorities are entirely focused on the LYTENAVA U.S. commercial launch.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FAITH ALIGNMENT — INSPIRE INSIGHT</w:t>
            </w:r>
          </w:p>
        </w:tc>
      </w:tr>
    </w:tbl>
    <w:p>
      <w:pPr>
        <w:spacing w:after="40"/>
      </w:pPr>
      <w:r>
        <w:rPr>
          <w:rFonts w:ascii="Calibri" w:hAnsi="Calibri"/>
          <w:b w:val="0"/>
          <w:color w:val="6E8450"/>
          <w:sz w:val="22"/>
        </w:rPr>
        <w:t xml:space="preserve">Inspire Impact Score:  </w:t>
      </w:r>
      <w:r>
        <w:rPr>
          <w:rFonts w:ascii="Calibri" w:hAnsi="Calibri"/>
          <w:b/>
          <w:color w:val="16A34A"/>
          <w:sz w:val="28"/>
        </w:rPr>
        <w:t>21</w:t>
      </w:r>
      <w:r>
        <w:rPr>
          <w:rFonts w:ascii="Calibri" w:hAnsi="Calibri"/>
          <w:b/>
          <w:color w:val="B8860B"/>
          <w:sz w:val="20"/>
        </w:rPr>
        <w:t xml:space="preserve">    MIXED</w:t>
      </w:r>
    </w:p>
    <w:p>
      <w:pPr>
        <w:spacing w:before="80" w:after="40"/>
      </w:pPr>
      <w:r>
        <w:rPr>
          <w:rFonts w:ascii="Calibri" w:hAnsi="Calibri"/>
          <w:b/>
          <w:color w:val="6E8450"/>
          <w:sz w:val="18"/>
        </w:rPr>
        <w:t xml:space="preserve">Positive: </w:t>
      </w:r>
      <w:r>
        <w:rPr>
          <w:rFonts w:ascii="Calibri" w:hAnsi="Calibri"/>
          <w:b/>
          <w:color w:val="16A34A"/>
          <w:sz w:val="17"/>
        </w:rPr>
        <w:t xml:space="preserve"> Customer Welfare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Ethical Sales Practices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Product Access and Affordability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Product Safety </w:t>
      </w:r>
    </w:p>
    <w:p>
      <w:pPr>
        <w:spacing w:before="120"/>
      </w:pPr>
      <w:r>
        <w:rPr>
          <w:rFonts w:ascii="Calibri" w:hAnsi="Calibri"/>
          <w:b w:val="0"/>
          <w:color w:val="9DAF88"/>
          <w:sz w:val="15"/>
        </w:rPr>
        <w:t>Source: Inspire Insight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RESOURCES</w:t>
            </w:r>
          </w:p>
        </w:tc>
      </w:tr>
    </w:tbl>
    <w:p>
      <w:pPr>
        <w:spacing w:before="20" w:after="20"/>
        <w:ind w:left="170"/>
      </w:pPr>
      <w:r>
        <w:rPr>
          <w:rFonts w:ascii="Calibri" w:hAnsi="Calibri"/>
          <w:b/>
          <w:color w:val="4A6B25"/>
          <w:sz w:val="15"/>
        </w:rPr>
        <w:t xml:space="preserve">1. </w:t>
      </w:r>
      <w:r>
        <w:rPr>
          <w:rFonts w:ascii="Calibri" w:hAnsi="Calibri"/>
          <w:b w:val="0"/>
          <w:color w:val="3A4A28"/>
          <w:sz w:val="17"/>
        </w:rPr>
        <w:t>Outlook Therapeutics Reports Third Quarter Fiscal Year 2026 Results — FDA Approval of LYTENAVA, U.S. Launch Guidance $50-75M — BioSpace, GlobeNewswire, Company IR, August 2026</w:t>
      </w:r>
    </w:p>
    <w:p>
      <w:pPr>
        <w:spacing w:before="20" w:after="20"/>
        <w:ind w:left="170"/>
      </w:pPr>
      <w:r>
        <w:rPr>
          <w:rFonts w:ascii="Calibri" w:hAnsi="Calibri"/>
          <w:b/>
          <w:color w:val="4A6B25"/>
          <w:sz w:val="15"/>
        </w:rPr>
        <w:t xml:space="preserve">2. </w:t>
      </w:r>
      <w:r>
        <w:rPr>
          <w:rFonts w:ascii="Calibri" w:hAnsi="Calibri"/>
          <w:b w:val="0"/>
          <w:color w:val="3A4A28"/>
          <w:sz w:val="17"/>
        </w:rPr>
        <w:t>Outlook Therapeutics Appoints Bob Jahr as CEO — Company IR, Yahoo Finance, PharmaNow, 2026</w:t>
      </w:r>
    </w:p>
    <w:p>
      <w:pPr>
        <w:spacing w:before="20" w:after="20"/>
        <w:ind w:left="170"/>
      </w:pPr>
      <w:r>
        <w:rPr>
          <w:rFonts w:ascii="Calibri" w:hAnsi="Calibri"/>
          <w:b/>
          <w:color w:val="4A6B25"/>
          <w:sz w:val="15"/>
        </w:rPr>
        <w:t xml:space="preserve">3. </w:t>
      </w:r>
      <w:r>
        <w:rPr>
          <w:rFonts w:ascii="Calibri" w:hAnsi="Calibri"/>
          <w:b w:val="0"/>
          <w:color w:val="3A4A28"/>
          <w:sz w:val="17"/>
        </w:rPr>
        <w:t>Outlook Therapeutics Going Concern, Dilution, and Capital Raise — SEC 10-Q (June 30, 2026), StockTitan, Ad-Hoc-News, Merlintrader, June-August 2026</w:t>
      </w:r>
    </w:p>
    <w:p>
      <w:pPr>
        <w:spacing w:before="20" w:after="20"/>
        <w:ind w:left="170"/>
      </w:pPr>
      <w:r>
        <w:rPr>
          <w:rFonts w:ascii="Calibri" w:hAnsi="Calibri"/>
          <w:b/>
          <w:color w:val="4A6B25"/>
          <w:sz w:val="15"/>
        </w:rPr>
        <w:t xml:space="preserve">4. </w:t>
      </w:r>
      <w:r>
        <w:rPr>
          <w:rFonts w:ascii="Calibri" w:hAnsi="Calibri"/>
          <w:b w:val="0"/>
          <w:color w:val="3A4A28"/>
          <w:sz w:val="17"/>
        </w:rPr>
        <w:t>Yahoo Finance — OTLK Key Statistics: Stock Price $0.64, Avg Daily Volume 26.9M, accessed August 2026</w:t>
      </w:r>
    </w:p>
    <w:p>
      <w:pPr>
        <w:spacing w:before="400"/>
        <w:jc w:val="center"/>
      </w:pPr>
      <w:r>
        <w:rPr>
          <w:rFonts w:ascii="Calibri" w:hAnsi="Calibri"/>
          <w:b w:val="0"/>
          <w:color w:val="9DAF88"/>
          <w:sz w:val="16"/>
        </w:rPr>
        <w:t>Paradiem, LLC dba Intentional Ownership (“IOWN”) is a registered investment advisor. The information provided is for educational and informational purposes only and does not constitute investment advice.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