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jc w:val="center"/>
      </w:pPr>
      <w:r>
        <w:drawing>
          <wp:inline xmlns:a="http://schemas.openxmlformats.org/drawingml/2006/main" xmlns:pic="http://schemas.openxmlformats.org/drawingml/2006/picture">
            <wp:extent cx="1371600" cy="723227"/>
            <wp:docPr id="1" name="Picture 1"/>
            <wp:cNvGraphicFramePr>
              <a:graphicFrameLocks noChangeAspect="1"/>
            </wp:cNvGraphicFramePr>
            <a:graphic>
              <a:graphicData uri="http://schemas.openxmlformats.org/drawingml/2006/picture">
                <pic:pic>
                  <pic:nvPicPr>
                    <pic:cNvPr id="0" name="image.png"/>
                    <pic:cNvPicPr/>
                  </pic:nvPicPr>
                  <pic:blipFill>
                    <a:blip r:embed="rId9"/>
                    <a:stretch>
                      <a:fillRect/>
                    </a:stretch>
                  </pic:blipFill>
                  <pic:spPr>
                    <a:xfrm>
                      <a:off x="0" y="0"/>
                      <a:ext cx="1371600" cy="723227"/>
                    </a:xfrm>
                    <a:prstGeom prst="rect"/>
                  </pic:spPr>
                </pic:pic>
              </a:graphicData>
            </a:graphic>
          </wp:inline>
        </w:drawing>
      </w:r>
    </w:p>
    <w:p>
      <w:pPr>
        <w:spacing w:before="120" w:after="40"/>
      </w:pPr>
      <w:r>
        <w:rPr>
          <w:rFonts w:ascii="Calibri" w:hAnsi="Calibri"/>
          <w:b/>
          <w:color w:val="4A6B25"/>
          <w:sz w:val="56"/>
        </w:rPr>
        <w:t>OVV</w:t>
      </w:r>
      <w:r>
        <w:rPr>
          <w:rFonts w:ascii="Calibri" w:hAnsi="Calibri"/>
          <w:b/>
          <w:color w:val="1A2010"/>
          <w:sz w:val="40"/>
        </w:rPr>
        <w:t xml:space="preserve">  Ovintiv Inc.</w:t>
      </w:r>
    </w:p>
    <w:p>
      <w:pPr>
        <w:spacing w:after="120"/>
      </w:pPr>
      <w:r>
        <w:rPr>
          <w:rFonts w:ascii="Calibri" w:hAnsi="Calibri"/>
          <w:b/>
          <w:color w:val="6E8450"/>
          <w:sz w:val="18"/>
        </w:rPr>
        <w:t>GROWTH SLEEVE · 2026-08-26 · Inspire: 38 · MIXED</w:t>
      </w:r>
    </w:p>
    <w:tbl>
      <w:tblPr>
        <w:jc w:val="left"/>
        <w:tblLook w:firstColumn="1" w:firstRow="1" w:lastColumn="0" w:lastRow="0" w:noHBand="0" w:noVBand="1" w:val="04A0"/>
        <w:tblBorders>
          <w:top w:val="none" w:sz="0" w:space="0" w:color="auto"/>
          <w:left w:val="none" w:sz="0" w:space="0" w:color="auto"/>
          <w:bottom w:val="none" w:sz="0" w:space="0" w:color="auto"/>
          <w:right w:val="none" w:sz="0" w:space="0" w:color="auto"/>
          <w:insideH w:val="none" w:sz="0" w:space="0" w:color="auto"/>
          <w:insideV w:val="none" w:sz="0" w:space="0" w:color="auto"/>
        </w:tblBorders>
        <w:tblW w:w="1200" w:type="dxa"/>
      </w:tblPr>
      <w:tblGrid>
        <w:gridCol w:w="10800"/>
      </w:tblGrid>
      <w:tr>
        <w:tc>
          <w:tcPr>
            <w:tcW w:type="dxa" w:w="10800"/>
            <w:shd w:fill="E3F2FD" w:val="clear"/>
          </w:tcPr>
          <w:p>
            <w:pPr>
              <w:spacing w:before="40" w:after="40"/>
              <w:jc w:val="center"/>
            </w:pPr>
            <w:r>
              <w:rPr>
                <w:rFonts w:ascii="Calibri" w:hAnsi="Calibri"/>
                <w:b/>
                <w:color w:val="2563EB"/>
                <w:sz w:val="20"/>
              </w:rPr>
              <w:t>WATCH</w:t>
            </w:r>
          </w:p>
        </w:tc>
      </w:tr>
    </w:tbl>
    <w:p>
      <w:pPr>
        <w:spacing w:before="120" w:after="200"/>
      </w:pPr>
      <w:r>
        <w:rPr>
          <w:rFonts w:ascii="Calibri" w:hAnsi="Calibri"/>
          <w:b/>
          <w:color w:val="1A2010"/>
          <w:sz w:val="80"/>
        </w:rPr>
        <w:t>53</w:t>
      </w:r>
      <w:r>
        <w:rPr>
          <w:rFonts w:ascii="Calibri" w:hAnsi="Calibri"/>
          <w:b w:val="0"/>
          <w:color w:val="9DAF88"/>
          <w:sz w:val="28"/>
        </w:rPr>
        <w:t xml:space="preserve"> / </w:t>
      </w:r>
      <w:r>
        <w:rPr>
          <w:rFonts w:ascii="Calibri" w:hAnsi="Calibri"/>
          <w:b w:val="0"/>
          <w:color w:val="9DAF88"/>
          <w:sz w:val="24"/>
        </w:rPr>
        <w:t>100</w:t>
      </w:r>
    </w:p>
    <w:tbl>
      <w:tblPr>
        <w:jc w:val="left"/>
        <w:tblLook w:firstColumn="1" w:firstRow="1" w:lastColumn="0" w:lastRow="0" w:noHBand="0" w:noVBand="1" w:val="04A0"/>
        <w:tblBorders>
          <w:top w:val="none" w:sz="0" w:space="0" w:color="auto"/>
          <w:left w:val="none" w:sz="0" w:space="0" w:color="auto"/>
          <w:bottom w:val="none" w:sz="0" w:space="0" w:color="auto"/>
          <w:right w:val="none" w:sz="0" w:space="0" w:color="auto"/>
          <w:insideH w:val="none" w:sz="0" w:space="0" w:color="auto"/>
          <w:insideV w:val="none" w:sz="0" w:space="0" w:color="auto"/>
        </w:tblBorders>
        <w:tblW w:w="5000" w:type="pct"/>
      </w:tblPr>
      <w:tblGrid>
        <w:gridCol w:w="10800"/>
      </w:tblGrid>
      <w:tr>
        <w:tc>
          <w:tcPr>
            <w:tcW w:type="dxa" w:w="10800"/>
            <w:tcBorders>
              <w:bottom w:val="single" w:sz="8" w:space="0" w:color="B8860B"/>
            </w:tcBorders>
          </w:tcPr>
          <w:p>
            <w:pPr>
              <w:spacing w:before="240" w:after="80"/>
            </w:pPr>
            <w:r>
              <w:rPr>
                <w:rFonts w:ascii="Calibri" w:hAnsi="Calibri"/>
                <w:b/>
                <w:color w:val="6E8450"/>
                <w:sz w:val="17"/>
              </w:rPr>
              <w:t>COMPANY PROFILE</w:t>
            </w:r>
          </w:p>
        </w:tc>
      </w:tr>
    </w:tbl>
    <w:p>
      <w:r>
        <w:rPr>
          <w:rFonts w:ascii="Calibri" w:hAnsi="Calibri"/>
          <w:b/>
          <w:color w:val="6E8450"/>
          <w:sz w:val="18"/>
        </w:rPr>
        <w:t>Energy · Oil &amp; Gas E&amp;P · NYSE · United States</w:t>
      </w:r>
    </w:p>
    <w:p>
      <w:pPr>
        <w:spacing w:after="80"/>
      </w:pPr>
      <w:r>
        <w:rPr>
          <w:rFonts w:ascii="Calibri" w:hAnsi="Calibri"/>
          <w:b w:val="0"/>
          <w:color w:val="3A4A28"/>
          <w:sz w:val="20"/>
        </w:rPr>
        <w:t>Ovintiv is a North American oil and natural gas exploration and production company operating in the Permian Basin (West Texas) and the Montney formation (Alberta/British Columbia). Under CEO Brendan McCracken (since 2021), the company has executed a multi-year portfolio transformation — acquiring Paramount Resources' Montney assets (November 2024, ~900 locations) and NuVista Energy's Montney assets (November 2025, ~930 locations) while divesting its Anadarko position for $3.0 billion — to concentrate on a focused two-basin, higher-return asset base [1]. Q2 2026 results showed debt reduction and boosted shareholder returns, with full-year 2026 production guidance of 630-645 MBOE/d and capital investment under $2.5 billion.</w:t>
      </w:r>
    </w:p>
    <w:p>
      <w:r>
        <w:rPr>
          <w:rFonts w:ascii="Calibri" w:hAnsi="Calibri"/>
          <w:b/>
          <w:color w:val="6E8450"/>
          <w:sz w:val="18"/>
        </w:rPr>
        <w:t>1,465 Employees · https://www.ovintiv.com</w:t>
      </w:r>
    </w:p>
    <w:tbl>
      <w:tblPr>
        <w:jc w:val="left"/>
        <w:tblLook w:firstColumn="1" w:firstRow="1" w:lastColumn="0" w:lastRow="0" w:noHBand="0" w:noVBand="1" w:val="04A0"/>
        <w:tblBorders>
          <w:top w:val="none" w:sz="0" w:space="0" w:color="auto"/>
          <w:left w:val="none" w:sz="0" w:space="0" w:color="auto"/>
          <w:bottom w:val="none" w:sz="0" w:space="0" w:color="auto"/>
          <w:right w:val="none" w:sz="0" w:space="0" w:color="auto"/>
          <w:insideH w:val="none" w:sz="0" w:space="0" w:color="auto"/>
          <w:insideV w:val="none" w:sz="0" w:space="0" w:color="auto"/>
        </w:tblBorders>
        <w:tblW w:w="5000" w:type="pct"/>
      </w:tblPr>
      <w:tblGrid>
        <w:gridCol w:w="10800"/>
      </w:tblGrid>
      <w:tr>
        <w:tc>
          <w:tcPr>
            <w:tcW w:type="dxa" w:w="10800"/>
            <w:tcBorders>
              <w:bottom w:val="single" w:sz="8" w:space="0" w:color="16A34A"/>
            </w:tcBorders>
          </w:tcPr>
          <w:p>
            <w:pPr>
              <w:spacing w:before="240" w:after="80"/>
            </w:pPr>
            <w:r>
              <w:rPr>
                <w:rFonts w:ascii="Calibri" w:hAnsi="Calibri"/>
                <w:b/>
                <w:color w:val="6E8450"/>
                <w:sz w:val="17"/>
              </w:rPr>
              <w:t>EXCELLENCE EVALUATION — THINK LIKE AN OWNER (50%)</w:t>
            </w:r>
          </w:p>
        </w:tc>
      </w:tr>
    </w:tbl>
    <w:p>
      <w:pPr>
        <w:spacing w:before="200" w:after="40"/>
      </w:pPr>
      <w:r>
        <w:rPr>
          <w:rFonts w:ascii="Calibri" w:hAnsi="Calibri"/>
          <w:b/>
          <w:color w:val="1A2010"/>
          <w:sz w:val="22"/>
        </w:rPr>
        <w:t>Innovation</w:t>
      </w:r>
      <w:r>
        <w:rPr>
          <w:rFonts w:ascii="Calibri" w:hAnsi="Calibri"/>
          <w:b w:val="0"/>
          <w:color w:val="1A2010"/>
          <w:sz w:val="22"/>
        </w:rPr>
        <w:t xml:space="preserve">  </w:t>
      </w:r>
      <w:r>
        <w:rPr>
          <w:rFonts w:ascii="Calibri" w:hAnsi="Calibri"/>
          <w:b/>
          <w:color w:val="B8860B"/>
          <w:sz w:val="16"/>
        </w:rPr>
        <w:t xml:space="preserve"> DEVELOPING </w:t>
      </w:r>
    </w:p>
    <w:p>
      <w:pPr>
        <w:spacing w:before="0" w:after="40"/>
      </w:pPr>
      <w:r>
        <w:rPr>
          <w:rFonts w:ascii="Calibri" w:hAnsi="Calibri"/>
          <w:b/>
          <w:color w:val="B8860B"/>
          <w:sz w:val="28"/>
        </w:rPr>
        <w:t>5</w:t>
      </w:r>
      <w:r>
        <w:rPr>
          <w:rFonts w:ascii="Calibri" w:hAnsi="Calibri"/>
          <w:b w:val="0"/>
          <w:color w:val="9DAF88"/>
          <w:sz w:val="18"/>
        </w:rPr>
        <w:t xml:space="preserve"> /10</w:t>
      </w:r>
    </w:p>
    <w:tbl>
      <w:tblPr>
        <w:jc w:val="left"/>
        <w:tblLook w:firstColumn="1" w:firstRow="1" w:lastColumn="0" w:lastRow="0" w:noHBand="0" w:noVBand="1" w:val="04A0"/>
        <w:tblBorders>
          <w:top w:val="none" w:sz="0" w:space="0" w:color="auto"/>
          <w:left w:val="none" w:sz="0" w:space="0" w:color="auto"/>
          <w:bottom w:val="none" w:sz="0" w:space="0" w:color="auto"/>
          <w:right w:val="none" w:sz="0" w:space="0" w:color="auto"/>
          <w:insideH w:val="none" w:sz="0" w:space="0" w:color="auto"/>
          <w:insideV w:val="none" w:sz="0" w:space="0" w:color="auto"/>
        </w:tblBorders>
        <w:tblW w:w="3500" w:type="dxa"/>
      </w:tblPr>
      <w:tblGrid>
        <w:gridCol w:w="5400"/>
        <w:gridCol w:w="5400"/>
      </w:tblGrid>
      <w:tr>
        <w:trPr>
          <w:trHeight w:val="170"/>
        </w:trPr>
        <w:tc>
          <w:tcPr>
            <w:tcW w:type="dxa" w:w="2756"/>
            <w:shd w:fill="B8860B" w:val="clear"/>
          </w:tcPr>
          <w:p>
            <w:pPr>
              <w:spacing w:before="0" w:after="0"/>
            </w:pPr>
            <w:r>
              <w:rPr>
                <w:rFonts w:ascii="Calibri" w:hAnsi="Calibri"/>
                <w:b w:val="0"/>
                <w:color w:val="1A2010"/>
                <w:sz w:val="4"/>
              </w:rPr>
            </w:r>
          </w:p>
        </w:tc>
        <w:tc>
          <w:tcPr>
            <w:tcW w:type="dxa" w:w="2756"/>
            <w:shd w:fill="EDEFE8" w:val="clear"/>
          </w:tcPr>
          <w:p>
            <w:pPr>
              <w:spacing w:before="0" w:after="0"/>
            </w:pPr>
            <w:r>
              <w:rPr>
                <w:rFonts w:ascii="Calibri" w:hAnsi="Calibri"/>
                <w:b w:val="0"/>
                <w:color w:val="1A2010"/>
                <w:sz w:val="4"/>
              </w:rPr>
            </w:r>
          </w:p>
        </w:tc>
      </w:tr>
    </w:tbl>
    <w:p>
      <w:pPr>
        <w:spacing w:before="60" w:after="120"/>
      </w:pPr>
      <w:r>
        <w:rPr>
          <w:rFonts w:ascii="Calibri" w:hAnsi="Calibri"/>
          <w:b w:val="0"/>
          <w:color w:val="3A4A28"/>
          <w:sz w:val="18"/>
        </w:rPr>
        <w:t>Track Record (3/3): Ovintiv executed a genuine multi-year portfolio transformation — the $3.0B Anadarko divestiture combined with sequential Montney acquisitions from Paramount (2024) and NuVista (2025) — that redefined the company from a diversified multi-basin operator into a focused Permian-plus-Montney producer [1]. AI Deployment (1/2): The company describes using 'advanced analytics and artificial intelligence to optimize drilling and completions parameters in real time, accelerate cycle times, and proactively identify risks,' a concrete operational AI use case, but no specific dollar figure for cost savings or efficiency gains was disclosed [2]. Market Share (0/2): No specific market share leadership or share-gain data was found in research; E&amp;P companies compete on basin economics rather than branded market share. Product Pipeline (1/2): 2026 guidance includes specific production volume targets (630-645 MBOE/d) and a capital investment ceiling (&lt;$2.5B), giving numeric visibility, though this is operational guidance rather than a named next-generation product pipeline [1]. R&amp;D Intensity (0/1): No R&amp;D-to-revenue data or industry comparison exists for this business model.</w:t>
      </w:r>
    </w:p>
    <w:p>
      <w:pPr>
        <w:spacing w:before="200" w:after="40"/>
      </w:pPr>
      <w:r>
        <w:rPr>
          <w:rFonts w:ascii="Calibri" w:hAnsi="Calibri"/>
          <w:b/>
          <w:color w:val="1A2010"/>
          <w:sz w:val="22"/>
        </w:rPr>
        <w:t>Inspiration</w:t>
      </w:r>
      <w:r>
        <w:rPr>
          <w:rFonts w:ascii="Calibri" w:hAnsi="Calibri"/>
          <w:b w:val="0"/>
          <w:color w:val="1A2010"/>
          <w:sz w:val="22"/>
        </w:rPr>
        <w:t xml:space="preserve">  </w:t>
      </w:r>
      <w:r>
        <w:rPr>
          <w:rFonts w:ascii="Calibri" w:hAnsi="Calibri"/>
          <w:b/>
          <w:color w:val="DC2626"/>
          <w:sz w:val="16"/>
        </w:rPr>
        <w:t xml:space="preserve"> WEAK </w:t>
      </w:r>
    </w:p>
    <w:p>
      <w:pPr>
        <w:spacing w:before="0" w:after="40"/>
      </w:pPr>
      <w:r>
        <w:rPr>
          <w:rFonts w:ascii="Calibri" w:hAnsi="Calibri"/>
          <w:b/>
          <w:color w:val="DC2626"/>
          <w:sz w:val="28"/>
        </w:rPr>
        <w:t>1</w:t>
      </w:r>
      <w:r>
        <w:rPr>
          <w:rFonts w:ascii="Calibri" w:hAnsi="Calibri"/>
          <w:b w:val="0"/>
          <w:color w:val="9DAF88"/>
          <w:sz w:val="18"/>
        </w:rPr>
        <w:t xml:space="preserve"> /10</w:t>
      </w:r>
    </w:p>
    <w:tbl>
      <w:tblPr>
        <w:jc w:val="left"/>
        <w:tblLook w:firstColumn="1" w:firstRow="1" w:lastColumn="0" w:lastRow="0" w:noHBand="0" w:noVBand="1" w:val="04A0"/>
        <w:tblBorders>
          <w:top w:val="none" w:sz="0" w:space="0" w:color="auto"/>
          <w:left w:val="none" w:sz="0" w:space="0" w:color="auto"/>
          <w:bottom w:val="none" w:sz="0" w:space="0" w:color="auto"/>
          <w:right w:val="none" w:sz="0" w:space="0" w:color="auto"/>
          <w:insideH w:val="none" w:sz="0" w:space="0" w:color="auto"/>
          <w:insideV w:val="none" w:sz="0" w:space="0" w:color="auto"/>
        </w:tblBorders>
        <w:tblW w:w="3500" w:type="dxa"/>
      </w:tblPr>
      <w:tblGrid>
        <w:gridCol w:w="5400"/>
        <w:gridCol w:w="5400"/>
      </w:tblGrid>
      <w:tr>
        <w:trPr>
          <w:trHeight w:val="170"/>
        </w:trPr>
        <w:tc>
          <w:tcPr>
            <w:tcW w:type="dxa" w:w="551"/>
            <w:shd w:fill="DC2626" w:val="clear"/>
          </w:tcPr>
          <w:p>
            <w:pPr>
              <w:spacing w:before="0" w:after="0"/>
            </w:pPr>
            <w:r>
              <w:rPr>
                <w:rFonts w:ascii="Calibri" w:hAnsi="Calibri"/>
                <w:b w:val="0"/>
                <w:color w:val="1A2010"/>
                <w:sz w:val="4"/>
              </w:rPr>
            </w:r>
          </w:p>
        </w:tc>
        <w:tc>
          <w:tcPr>
            <w:tcW w:type="dxa" w:w="4961"/>
            <w:shd w:fill="EDEFE8" w:val="clear"/>
          </w:tcPr>
          <w:p>
            <w:pPr>
              <w:spacing w:before="0" w:after="0"/>
            </w:pPr>
            <w:r>
              <w:rPr>
                <w:rFonts w:ascii="Calibri" w:hAnsi="Calibri"/>
                <w:b w:val="0"/>
                <w:color w:val="1A2010"/>
                <w:sz w:val="4"/>
              </w:rPr>
            </w:r>
          </w:p>
        </w:tc>
      </w:tr>
    </w:tbl>
    <w:p>
      <w:pPr>
        <w:spacing w:before="60" w:after="120"/>
      </w:pPr>
      <w:r>
        <w:rPr>
          <w:rFonts w:ascii="Calibri" w:hAnsi="Calibri"/>
          <w:b w:val="0"/>
          <w:color w:val="3A4A28"/>
          <w:sz w:val="18"/>
        </w:rPr>
        <w:t>Mission Floor (1/4): No distinctive purpose or vision statement beyond standard energy-company language (efficient, responsible resource development) was found in research; public messaging centers on portfolio optimization, debt reduction, and shareholder returns rather than an articulated purpose. Community Impact (0/2): No evidence of charitable programs or community investment with specific figures was found. Employee Retention (0/2): No tenure or turnover data is available for the 1,465-person workforce. Insider Buying (0/2): No evidence of net insider buying was found in research.</w:t>
      </w:r>
    </w:p>
    <w:p>
      <w:pPr>
        <w:spacing w:before="200" w:after="40"/>
      </w:pPr>
      <w:r>
        <w:rPr>
          <w:rFonts w:ascii="Calibri" w:hAnsi="Calibri"/>
          <w:b/>
          <w:color w:val="1A2010"/>
          <w:sz w:val="22"/>
        </w:rPr>
        <w:t>Infrastructure</w:t>
      </w:r>
      <w:r>
        <w:rPr>
          <w:rFonts w:ascii="Calibri" w:hAnsi="Calibri"/>
          <w:b w:val="0"/>
          <w:color w:val="1A2010"/>
          <w:sz w:val="22"/>
        </w:rPr>
        <w:t xml:space="preserve">  </w:t>
      </w:r>
      <w:r>
        <w:rPr>
          <w:rFonts w:ascii="Calibri" w:hAnsi="Calibri"/>
          <w:b/>
          <w:color w:val="B8860B"/>
          <w:sz w:val="16"/>
        </w:rPr>
        <w:t xml:space="preserve"> DEVELOPING </w:t>
      </w:r>
    </w:p>
    <w:p>
      <w:pPr>
        <w:spacing w:before="0" w:after="40"/>
      </w:pPr>
      <w:r>
        <w:rPr>
          <w:rFonts w:ascii="Calibri" w:hAnsi="Calibri"/>
          <w:b/>
          <w:color w:val="B8860B"/>
          <w:sz w:val="28"/>
        </w:rPr>
        <w:t>6</w:t>
      </w:r>
      <w:r>
        <w:rPr>
          <w:rFonts w:ascii="Calibri" w:hAnsi="Calibri"/>
          <w:b w:val="0"/>
          <w:color w:val="9DAF88"/>
          <w:sz w:val="18"/>
        </w:rPr>
        <w:t xml:space="preserve"> /10</w:t>
      </w:r>
    </w:p>
    <w:tbl>
      <w:tblPr>
        <w:jc w:val="left"/>
        <w:tblLook w:firstColumn="1" w:firstRow="1" w:lastColumn="0" w:lastRow="0" w:noHBand="0" w:noVBand="1" w:val="04A0"/>
        <w:tblBorders>
          <w:top w:val="none" w:sz="0" w:space="0" w:color="auto"/>
          <w:left w:val="none" w:sz="0" w:space="0" w:color="auto"/>
          <w:bottom w:val="none" w:sz="0" w:space="0" w:color="auto"/>
          <w:right w:val="none" w:sz="0" w:space="0" w:color="auto"/>
          <w:insideH w:val="none" w:sz="0" w:space="0" w:color="auto"/>
          <w:insideV w:val="none" w:sz="0" w:space="0" w:color="auto"/>
        </w:tblBorders>
        <w:tblW w:w="3500" w:type="dxa"/>
      </w:tblPr>
      <w:tblGrid>
        <w:gridCol w:w="5400"/>
        <w:gridCol w:w="5400"/>
      </w:tblGrid>
      <w:tr>
        <w:trPr>
          <w:trHeight w:val="170"/>
        </w:trPr>
        <w:tc>
          <w:tcPr>
            <w:tcW w:type="dxa" w:w="3307"/>
            <w:shd w:fill="B8860B" w:val="clear"/>
          </w:tcPr>
          <w:p>
            <w:pPr>
              <w:spacing w:before="0" w:after="0"/>
            </w:pPr>
            <w:r>
              <w:rPr>
                <w:rFonts w:ascii="Calibri" w:hAnsi="Calibri"/>
                <w:b w:val="0"/>
                <w:color w:val="1A2010"/>
                <w:sz w:val="4"/>
              </w:rPr>
            </w:r>
          </w:p>
        </w:tc>
        <w:tc>
          <w:tcPr>
            <w:tcW w:type="dxa" w:w="2205"/>
            <w:shd w:fill="EDEFE8" w:val="clear"/>
          </w:tcPr>
          <w:p>
            <w:pPr>
              <w:spacing w:before="0" w:after="0"/>
            </w:pPr>
            <w:r>
              <w:rPr>
                <w:rFonts w:ascii="Calibri" w:hAnsi="Calibri"/>
                <w:b w:val="0"/>
                <w:color w:val="1A2010"/>
                <w:sz w:val="4"/>
              </w:rPr>
            </w:r>
          </w:p>
        </w:tc>
      </w:tr>
    </w:tbl>
    <w:p>
      <w:pPr>
        <w:spacing w:before="60" w:after="120"/>
      </w:pPr>
      <w:r>
        <w:rPr>
          <w:rFonts w:ascii="Calibri" w:hAnsi="Calibri"/>
          <w:b w:val="0"/>
          <w:color w:val="3A4A28"/>
          <w:sz w:val="18"/>
        </w:rPr>
        <w:t>Mechanically scored on available metrics as a Growth-sleeve stock (dividend yield of 1.86% is below the 2% Dividend-sleeve threshold). D/E of 43.7% and Forward P/E of 8.82x both clear their targets comfortably, and quarterly revenue growth of 29.7% YoY (Montney acquisition-driven) scores at ceiling. ROE of 8.41% and profit margin of 9.66% are both moderate, well below their respective 15% and 20% targets. Forward PEG of 1.85 is above the 1.0 target, reflecting a valuation that isn't especially cheap relative to guided earnings growth. The primary drag is a negative 3-year revenue CAGR of approximately -10.4% (best available proxy for the 5yr metric), which reflects the deliberate divestiture of Anadarko and other non-core assets as part of the Montney-focused portfolio transformation rather than organic demand weakness — the metric still floors at 0 under the mechanical formula despite the strategic rationale [1]. Liquidity is not a constraint: ~3.3M average daily shares at $64.40 clears roughly $215M in daily dollar volume, far above the $1M floor.</w:t>
      </w:r>
    </w:p>
    <w:tbl>
      <w:tblPr>
        <w:jc w:val="left"/>
        <w:tblLook w:firstColumn="1" w:firstRow="1" w:lastColumn="0" w:lastRow="0" w:noHBand="0" w:noVBand="1" w:val="04A0"/>
        <w:tblBorders>
          <w:top w:val="none" w:sz="0" w:space="0" w:color="auto"/>
          <w:left w:val="none" w:sz="0" w:space="0" w:color="auto"/>
          <w:bottom w:val="none" w:sz="0" w:space="0" w:color="auto"/>
          <w:right w:val="none" w:sz="0" w:space="0" w:color="auto"/>
          <w:insideH w:val="none" w:sz="0" w:space="0" w:color="auto"/>
          <w:insideV w:val="none" w:sz="0" w:space="0" w:color="auto"/>
        </w:tblBorders>
        <w:tblW w:w="5000" w:type="pct"/>
      </w:tblPr>
      <w:tblGrid>
        <w:gridCol w:w="10800"/>
      </w:tblGrid>
      <w:tr>
        <w:tc>
          <w:tcPr>
            <w:tcW w:type="dxa" w:w="10800"/>
            <w:tcBorders>
              <w:bottom w:val="single" w:sz="8" w:space="0" w:color="16A34A"/>
            </w:tcBorders>
          </w:tcPr>
          <w:p>
            <w:pPr>
              <w:spacing w:before="240" w:after="80"/>
            </w:pPr>
            <w:r>
              <w:rPr>
                <w:rFonts w:ascii="Calibri" w:hAnsi="Calibri"/>
                <w:b/>
                <w:color w:val="6E8450"/>
                <w:sz w:val="17"/>
              </w:rPr>
              <w:t>FINITE VS INFINITE GAME — SINEK (25%)</w:t>
            </w:r>
          </w:p>
        </w:tc>
      </w:tr>
    </w:tbl>
    <w:p>
      <w:pPr>
        <w:spacing w:after="40"/>
      </w:pPr>
      <w:r>
        <w:rPr>
          <w:rFonts w:ascii="Calibri" w:hAnsi="Calibri"/>
          <w:b w:val="0"/>
          <w:color w:val="6E8450"/>
          <w:sz w:val="22"/>
        </w:rPr>
        <w:t xml:space="preserve">Mindset: </w:t>
      </w:r>
      <w:r>
        <w:rPr>
          <w:rFonts w:ascii="Calibri" w:hAnsi="Calibri"/>
          <w:b/>
          <w:color w:val="B8860B"/>
          <w:sz w:val="22"/>
        </w:rPr>
        <w:t>MIXED</w:t>
      </w:r>
      <w:r>
        <w:rPr>
          <w:rFonts w:ascii="Calibri" w:hAnsi="Calibri"/>
          <w:b w:val="0"/>
          <w:color w:val="6E8450"/>
          <w:sz w:val="22"/>
        </w:rPr>
        <w:t xml:space="preserve">      Overall: </w:t>
      </w:r>
      <w:r>
        <w:rPr>
          <w:rFonts w:ascii="Calibri" w:hAnsi="Calibri"/>
          <w:b/>
          <w:color w:val="B8860B"/>
          <w:sz w:val="28"/>
        </w:rPr>
        <w:t>5</w:t>
      </w:r>
      <w:r>
        <w:rPr>
          <w:rFonts w:ascii="Calibri" w:hAnsi="Calibri"/>
          <w:b w:val="0"/>
          <w:color w:val="9DAF88"/>
          <w:sz w:val="18"/>
        </w:rPr>
        <w:t xml:space="preserve"> /10</w:t>
      </w:r>
    </w:p>
    <w:p>
      <w:pPr>
        <w:spacing w:after="120"/>
      </w:pPr>
      <w:r>
        <w:rPr>
          <w:rFonts w:ascii="Calibri" w:hAnsi="Calibri"/>
          <w:b w:val="0"/>
          <w:color w:val="3A4A28"/>
          <w:sz w:val="18"/>
        </w:rPr>
        <w:t>Ovintiv under CEO Brendan McCracken has executed a genuinely decisive multi-year portfolio transformation — the $3.0B Anadarko divestiture paired with sequential Montney acquisitions from Paramount and NuVista — showing real capital-allocation conviction, and the company cites a 'leading health and safety culture' as a stated value. But the public narrative is dominated by shareholder-return and debt-reduction framing rather than a service-oriented Just Cause, and a 2024 EPA enforcement settlement over Uinta Basin methane and VOC emissions sits uncomfortably against the company's own sustainability messaging about eliminating routine flaring.</w:t>
      </w:r>
    </w:p>
    <w:p>
      <w:pPr>
        <w:spacing w:before="200" w:after="40"/>
      </w:pPr>
      <w:r>
        <w:rPr>
          <w:rFonts w:ascii="Calibri" w:hAnsi="Calibri"/>
          <w:b/>
          <w:color w:val="1A2010"/>
          <w:sz w:val="22"/>
        </w:rPr>
        <w:t>Just Cause</w:t>
      </w:r>
    </w:p>
    <w:p>
      <w:pPr>
        <w:spacing w:before="0" w:after="40"/>
      </w:pPr>
      <w:r>
        <w:rPr>
          <w:rFonts w:ascii="Calibri" w:hAnsi="Calibri"/>
          <w:b/>
          <w:color w:val="B8860B"/>
          <w:sz w:val="28"/>
        </w:rPr>
        <w:t>4</w:t>
      </w:r>
      <w:r>
        <w:rPr>
          <w:rFonts w:ascii="Calibri" w:hAnsi="Calibri"/>
          <w:b w:val="0"/>
          <w:color w:val="9DAF88"/>
          <w:sz w:val="18"/>
        </w:rPr>
        <w:t xml:space="preserve"> /10</w:t>
      </w:r>
    </w:p>
    <w:tbl>
      <w:tblPr>
        <w:jc w:val="left"/>
        <w:tblLook w:firstColumn="1" w:firstRow="1" w:lastColumn="0" w:lastRow="0" w:noHBand="0" w:noVBand="1" w:val="04A0"/>
        <w:tblBorders>
          <w:top w:val="none" w:sz="0" w:space="0" w:color="auto"/>
          <w:left w:val="none" w:sz="0" w:space="0" w:color="auto"/>
          <w:bottom w:val="none" w:sz="0" w:space="0" w:color="auto"/>
          <w:right w:val="none" w:sz="0" w:space="0" w:color="auto"/>
          <w:insideH w:val="none" w:sz="0" w:space="0" w:color="auto"/>
          <w:insideV w:val="none" w:sz="0" w:space="0" w:color="auto"/>
        </w:tblBorders>
        <w:tblW w:w="3500" w:type="dxa"/>
      </w:tblPr>
      <w:tblGrid>
        <w:gridCol w:w="5400"/>
        <w:gridCol w:w="5400"/>
      </w:tblGrid>
      <w:tr>
        <w:trPr>
          <w:trHeight w:val="170"/>
        </w:trPr>
        <w:tc>
          <w:tcPr>
            <w:tcW w:type="dxa" w:w="2205"/>
            <w:shd w:fill="B8860B" w:val="clear"/>
          </w:tcPr>
          <w:p>
            <w:pPr>
              <w:spacing w:before="0" w:after="0"/>
            </w:pPr>
            <w:r>
              <w:rPr>
                <w:rFonts w:ascii="Calibri" w:hAnsi="Calibri"/>
                <w:b w:val="0"/>
                <w:color w:val="1A2010"/>
                <w:sz w:val="4"/>
              </w:rPr>
            </w:r>
          </w:p>
        </w:tc>
        <w:tc>
          <w:tcPr>
            <w:tcW w:type="dxa" w:w="3307"/>
            <w:shd w:fill="EDEFE8" w:val="clear"/>
          </w:tcPr>
          <w:p>
            <w:pPr>
              <w:spacing w:before="0" w:after="0"/>
            </w:pPr>
            <w:r>
              <w:rPr>
                <w:rFonts w:ascii="Calibri" w:hAnsi="Calibri"/>
                <w:b w:val="0"/>
                <w:color w:val="1A2010"/>
                <w:sz w:val="4"/>
              </w:rPr>
            </w:r>
          </w:p>
        </w:tc>
      </w:tr>
    </w:tbl>
    <w:p>
      <w:pPr>
        <w:spacing w:before="60" w:after="120"/>
      </w:pPr>
      <w:r>
        <w:rPr>
          <w:rFonts w:ascii="Calibri" w:hAnsi="Calibri"/>
          <w:b w:val="0"/>
          <w:color w:val="3A4A28"/>
          <w:sz w:val="18"/>
        </w:rPr>
        <w:t>Just Cause (1/3): Ovintiv's public strategy is framed around portfolio optimization, cost discipline, and 'boosted shareholder returns' rather than a resilient, service-oriented cause; the company's stated safety culture is a genuine positive but does not rise to an idealistic vision of a future state [1][2].</w:t>
      </w:r>
    </w:p>
    <w:p>
      <w:pPr>
        <w:spacing w:before="200" w:after="40"/>
      </w:pPr>
      <w:r>
        <w:rPr>
          <w:rFonts w:ascii="Calibri" w:hAnsi="Calibri"/>
          <w:b/>
          <w:color w:val="1A2010"/>
          <w:sz w:val="22"/>
        </w:rPr>
        <w:t>Trusting Teams</w:t>
      </w:r>
    </w:p>
    <w:p>
      <w:pPr>
        <w:spacing w:before="0" w:after="40"/>
      </w:pPr>
      <w:r>
        <w:rPr>
          <w:rFonts w:ascii="Calibri" w:hAnsi="Calibri"/>
          <w:b/>
          <w:color w:val="B8860B"/>
          <w:sz w:val="28"/>
        </w:rPr>
        <w:t>6</w:t>
      </w:r>
      <w:r>
        <w:rPr>
          <w:rFonts w:ascii="Calibri" w:hAnsi="Calibri"/>
          <w:b w:val="0"/>
          <w:color w:val="9DAF88"/>
          <w:sz w:val="18"/>
        </w:rPr>
        <w:t xml:space="preserve"> /10</w:t>
      </w:r>
    </w:p>
    <w:tbl>
      <w:tblPr>
        <w:jc w:val="left"/>
        <w:tblLook w:firstColumn="1" w:firstRow="1" w:lastColumn="0" w:lastRow="0" w:noHBand="0" w:noVBand="1" w:val="04A0"/>
        <w:tblBorders>
          <w:top w:val="none" w:sz="0" w:space="0" w:color="auto"/>
          <w:left w:val="none" w:sz="0" w:space="0" w:color="auto"/>
          <w:bottom w:val="none" w:sz="0" w:space="0" w:color="auto"/>
          <w:right w:val="none" w:sz="0" w:space="0" w:color="auto"/>
          <w:insideH w:val="none" w:sz="0" w:space="0" w:color="auto"/>
          <w:insideV w:val="none" w:sz="0" w:space="0" w:color="auto"/>
        </w:tblBorders>
        <w:tblW w:w="3500" w:type="dxa"/>
      </w:tblPr>
      <w:tblGrid>
        <w:gridCol w:w="5400"/>
        <w:gridCol w:w="5400"/>
      </w:tblGrid>
      <w:tr>
        <w:trPr>
          <w:trHeight w:val="170"/>
        </w:trPr>
        <w:tc>
          <w:tcPr>
            <w:tcW w:type="dxa" w:w="3307"/>
            <w:shd w:fill="B8860B" w:val="clear"/>
          </w:tcPr>
          <w:p>
            <w:pPr>
              <w:spacing w:before="0" w:after="0"/>
            </w:pPr>
            <w:r>
              <w:rPr>
                <w:rFonts w:ascii="Calibri" w:hAnsi="Calibri"/>
                <w:b w:val="0"/>
                <w:color w:val="1A2010"/>
                <w:sz w:val="4"/>
              </w:rPr>
            </w:r>
          </w:p>
        </w:tc>
        <w:tc>
          <w:tcPr>
            <w:tcW w:type="dxa" w:w="2205"/>
            <w:shd w:fill="EDEFE8" w:val="clear"/>
          </w:tcPr>
          <w:p>
            <w:pPr>
              <w:spacing w:before="0" w:after="0"/>
            </w:pPr>
            <w:r>
              <w:rPr>
                <w:rFonts w:ascii="Calibri" w:hAnsi="Calibri"/>
                <w:b w:val="0"/>
                <w:color w:val="1A2010"/>
                <w:sz w:val="4"/>
              </w:rPr>
            </w:r>
          </w:p>
        </w:tc>
      </w:tr>
    </w:tbl>
    <w:p>
      <w:pPr>
        <w:spacing w:before="60" w:after="120"/>
      </w:pPr>
      <w:r>
        <w:rPr>
          <w:rFonts w:ascii="Calibri" w:hAnsi="Calibri"/>
          <w:b w:val="0"/>
          <w:color w:val="3A4A28"/>
          <w:sz w:val="18"/>
        </w:rPr>
        <w:t>Trusting Teams (1/2): CEO Brendan McCracken (since 2021) is credited with establishing 'a leading health and safety culture,' and the company runs an unusually compact five-member executive team with centralized operations under a single COO, suggesting a deliberate, aligned leadership structure, but no employee tenure or turnover data was found to confirm broader organizational trust [2].</w:t>
      </w:r>
    </w:p>
    <w:p>
      <w:pPr>
        <w:spacing w:before="200" w:after="40"/>
      </w:pPr>
      <w:r>
        <w:rPr>
          <w:rFonts w:ascii="Calibri" w:hAnsi="Calibri"/>
          <w:b/>
          <w:color w:val="1A2010"/>
          <w:sz w:val="22"/>
        </w:rPr>
        <w:t>Worthy Rivals</w:t>
      </w:r>
    </w:p>
    <w:p>
      <w:pPr>
        <w:spacing w:before="0" w:after="40"/>
      </w:pPr>
      <w:r>
        <w:rPr>
          <w:rFonts w:ascii="Calibri" w:hAnsi="Calibri"/>
          <w:b/>
          <w:color w:val="DC2626"/>
          <w:sz w:val="28"/>
        </w:rPr>
        <w:t>3</w:t>
      </w:r>
      <w:r>
        <w:rPr>
          <w:rFonts w:ascii="Calibri" w:hAnsi="Calibri"/>
          <w:b w:val="0"/>
          <w:color w:val="9DAF88"/>
          <w:sz w:val="18"/>
        </w:rPr>
        <w:t xml:space="preserve"> /10</w:t>
      </w:r>
    </w:p>
    <w:tbl>
      <w:tblPr>
        <w:jc w:val="left"/>
        <w:tblLook w:firstColumn="1" w:firstRow="1" w:lastColumn="0" w:lastRow="0" w:noHBand="0" w:noVBand="1" w:val="04A0"/>
        <w:tblBorders>
          <w:top w:val="none" w:sz="0" w:space="0" w:color="auto"/>
          <w:left w:val="none" w:sz="0" w:space="0" w:color="auto"/>
          <w:bottom w:val="none" w:sz="0" w:space="0" w:color="auto"/>
          <w:right w:val="none" w:sz="0" w:space="0" w:color="auto"/>
          <w:insideH w:val="none" w:sz="0" w:space="0" w:color="auto"/>
          <w:insideV w:val="none" w:sz="0" w:space="0" w:color="auto"/>
        </w:tblBorders>
        <w:tblW w:w="3500" w:type="dxa"/>
      </w:tblPr>
      <w:tblGrid>
        <w:gridCol w:w="5400"/>
        <w:gridCol w:w="5400"/>
      </w:tblGrid>
      <w:tr>
        <w:trPr>
          <w:trHeight w:val="170"/>
        </w:trPr>
        <w:tc>
          <w:tcPr>
            <w:tcW w:type="dxa" w:w="1654"/>
            <w:shd w:fill="DC2626" w:val="clear"/>
          </w:tcPr>
          <w:p>
            <w:pPr>
              <w:spacing w:before="0" w:after="0"/>
            </w:pPr>
            <w:r>
              <w:rPr>
                <w:rFonts w:ascii="Calibri" w:hAnsi="Calibri"/>
                <w:b w:val="0"/>
                <w:color w:val="1A2010"/>
                <w:sz w:val="4"/>
              </w:rPr>
            </w:r>
          </w:p>
        </w:tc>
        <w:tc>
          <w:tcPr>
            <w:tcW w:type="dxa" w:w="3858"/>
            <w:shd w:fill="EDEFE8" w:val="clear"/>
          </w:tcPr>
          <w:p>
            <w:pPr>
              <w:spacing w:before="0" w:after="0"/>
            </w:pPr>
            <w:r>
              <w:rPr>
                <w:rFonts w:ascii="Calibri" w:hAnsi="Calibri"/>
                <w:b w:val="0"/>
                <w:color w:val="1A2010"/>
                <w:sz w:val="4"/>
              </w:rPr>
            </w:r>
          </w:p>
        </w:tc>
      </w:tr>
    </w:tbl>
    <w:p>
      <w:pPr>
        <w:spacing w:before="60" w:after="120"/>
      </w:pPr>
      <w:r>
        <w:rPr>
          <w:rFonts w:ascii="Calibri" w:hAnsi="Calibri"/>
          <w:b w:val="0"/>
          <w:color w:val="3A4A28"/>
          <w:sz w:val="18"/>
        </w:rPr>
        <w:t>Worthy Rivals (0/1): No evidence of collaborative or self-improvement competitive language toward other Permian or Montney operators was found in available research.</w:t>
      </w:r>
    </w:p>
    <w:p>
      <w:pPr>
        <w:spacing w:before="200" w:after="40"/>
      </w:pPr>
      <w:r>
        <w:rPr>
          <w:rFonts w:ascii="Calibri" w:hAnsi="Calibri"/>
          <w:b/>
          <w:color w:val="1A2010"/>
          <w:sz w:val="22"/>
        </w:rPr>
        <w:t>Existential Flexibility</w:t>
      </w:r>
    </w:p>
    <w:p>
      <w:pPr>
        <w:spacing w:before="0" w:after="40"/>
      </w:pPr>
      <w:r>
        <w:rPr>
          <w:rFonts w:ascii="Calibri" w:hAnsi="Calibri"/>
          <w:b/>
          <w:color w:val="B8860B"/>
          <w:sz w:val="28"/>
        </w:rPr>
        <w:t>6</w:t>
      </w:r>
      <w:r>
        <w:rPr>
          <w:rFonts w:ascii="Calibri" w:hAnsi="Calibri"/>
          <w:b w:val="0"/>
          <w:color w:val="9DAF88"/>
          <w:sz w:val="18"/>
        </w:rPr>
        <w:t xml:space="preserve"> /10</w:t>
      </w:r>
    </w:p>
    <w:tbl>
      <w:tblPr>
        <w:jc w:val="left"/>
        <w:tblLook w:firstColumn="1" w:firstRow="1" w:lastColumn="0" w:lastRow="0" w:noHBand="0" w:noVBand="1" w:val="04A0"/>
        <w:tblBorders>
          <w:top w:val="none" w:sz="0" w:space="0" w:color="auto"/>
          <w:left w:val="none" w:sz="0" w:space="0" w:color="auto"/>
          <w:bottom w:val="none" w:sz="0" w:space="0" w:color="auto"/>
          <w:right w:val="none" w:sz="0" w:space="0" w:color="auto"/>
          <w:insideH w:val="none" w:sz="0" w:space="0" w:color="auto"/>
          <w:insideV w:val="none" w:sz="0" w:space="0" w:color="auto"/>
        </w:tblBorders>
        <w:tblW w:w="3500" w:type="dxa"/>
      </w:tblPr>
      <w:tblGrid>
        <w:gridCol w:w="5400"/>
        <w:gridCol w:w="5400"/>
      </w:tblGrid>
      <w:tr>
        <w:trPr>
          <w:trHeight w:val="170"/>
        </w:trPr>
        <w:tc>
          <w:tcPr>
            <w:tcW w:type="dxa" w:w="3307"/>
            <w:shd w:fill="B8860B" w:val="clear"/>
          </w:tcPr>
          <w:p>
            <w:pPr>
              <w:spacing w:before="0" w:after="0"/>
            </w:pPr>
            <w:r>
              <w:rPr>
                <w:rFonts w:ascii="Calibri" w:hAnsi="Calibri"/>
                <w:b w:val="0"/>
                <w:color w:val="1A2010"/>
                <w:sz w:val="4"/>
              </w:rPr>
            </w:r>
          </w:p>
        </w:tc>
        <w:tc>
          <w:tcPr>
            <w:tcW w:type="dxa" w:w="2205"/>
            <w:shd w:fill="EDEFE8" w:val="clear"/>
          </w:tcPr>
          <w:p>
            <w:pPr>
              <w:spacing w:before="0" w:after="0"/>
            </w:pPr>
            <w:r>
              <w:rPr>
                <w:rFonts w:ascii="Calibri" w:hAnsi="Calibri"/>
                <w:b w:val="0"/>
                <w:color w:val="1A2010"/>
                <w:sz w:val="4"/>
              </w:rPr>
            </w:r>
          </w:p>
        </w:tc>
      </w:tr>
    </w:tbl>
    <w:p>
      <w:pPr>
        <w:spacing w:before="60" w:after="120"/>
      </w:pPr>
      <w:r>
        <w:rPr>
          <w:rFonts w:ascii="Calibri" w:hAnsi="Calibri"/>
          <w:b w:val="0"/>
          <w:color w:val="3A4A28"/>
          <w:sz w:val="18"/>
        </w:rPr>
        <w:t>Existential Flexibility (1/2): The shift from a diversified multi-basin operator (Permian, Anadarko, Uinta, Montney) to a focused Permian-and-Montney portfolio via the Anadarko divestiture and consecutive Montney acquisitions is meaningful strategic reshaping, but it remains within the same core oil-and-gas E&amp;P business model rather than a transformative pivot into a new domain [1].</w:t>
      </w:r>
    </w:p>
    <w:p>
      <w:pPr>
        <w:spacing w:before="200" w:after="40"/>
      </w:pPr>
      <w:r>
        <w:rPr>
          <w:rFonts w:ascii="Calibri" w:hAnsi="Calibri"/>
          <w:b/>
          <w:color w:val="1A2010"/>
          <w:sz w:val="22"/>
        </w:rPr>
        <w:t>Courage To Lead</w:t>
      </w:r>
    </w:p>
    <w:p>
      <w:pPr>
        <w:spacing w:before="0" w:after="40"/>
      </w:pPr>
      <w:r>
        <w:rPr>
          <w:rFonts w:ascii="Calibri" w:hAnsi="Calibri"/>
          <w:b/>
          <w:color w:val="16A34A"/>
          <w:sz w:val="28"/>
        </w:rPr>
        <w:t>10</w:t>
      </w:r>
      <w:r>
        <w:rPr>
          <w:rFonts w:ascii="Calibri" w:hAnsi="Calibri"/>
          <w:b w:val="0"/>
          <w:color w:val="9DAF88"/>
          <w:sz w:val="18"/>
        </w:rPr>
        <w:t xml:space="preserve"> /10</w:t>
      </w:r>
    </w:p>
    <w:tbl>
      <w:tblPr>
        <w:jc w:val="left"/>
        <w:tblLook w:firstColumn="1" w:firstRow="1" w:lastColumn="0" w:lastRow="0" w:noHBand="0" w:noVBand="1" w:val="04A0"/>
        <w:tblBorders>
          <w:top w:val="none" w:sz="0" w:space="0" w:color="auto"/>
          <w:left w:val="none" w:sz="0" w:space="0" w:color="auto"/>
          <w:bottom w:val="none" w:sz="0" w:space="0" w:color="auto"/>
          <w:right w:val="none" w:sz="0" w:space="0" w:color="auto"/>
          <w:insideH w:val="none" w:sz="0" w:space="0" w:color="auto"/>
          <w:insideV w:val="none" w:sz="0" w:space="0" w:color="auto"/>
        </w:tblBorders>
        <w:tblW w:w="3500" w:type="dxa"/>
      </w:tblPr>
      <w:tblGrid>
        <w:gridCol w:w="5400"/>
        <w:gridCol w:w="5400"/>
      </w:tblGrid>
      <w:tr>
        <w:trPr>
          <w:trHeight w:val="170"/>
        </w:trPr>
        <w:tc>
          <w:tcPr>
            <w:tcW w:type="dxa" w:w="5512"/>
            <w:shd w:fill="16A34A" w:val="clear"/>
          </w:tcPr>
          <w:p>
            <w:pPr>
              <w:spacing w:before="0" w:after="0"/>
            </w:pPr>
            <w:r>
              <w:rPr>
                <w:rFonts w:ascii="Calibri" w:hAnsi="Calibri"/>
                <w:b w:val="0"/>
                <w:color w:val="1A2010"/>
                <w:sz w:val="4"/>
              </w:rPr>
            </w:r>
          </w:p>
        </w:tc>
        <w:tc>
          <w:tcPr>
            <w:tcW w:type="dxa" w:w="0"/>
            <w:shd w:fill="EDEFE8" w:val="clear"/>
          </w:tcPr>
          <w:p>
            <w:pPr>
              <w:spacing w:before="0" w:after="0"/>
            </w:pPr>
            <w:r>
              <w:rPr>
                <w:rFonts w:ascii="Calibri" w:hAnsi="Calibri"/>
                <w:b w:val="0"/>
                <w:color w:val="1A2010"/>
                <w:sz w:val="4"/>
              </w:rPr>
            </w:r>
          </w:p>
        </w:tc>
      </w:tr>
    </w:tbl>
    <w:p>
      <w:pPr>
        <w:spacing w:before="60" w:after="120"/>
      </w:pPr>
      <w:r>
        <w:rPr>
          <w:rFonts w:ascii="Calibri" w:hAnsi="Calibri"/>
          <w:b w:val="0"/>
          <w:color w:val="3A4A28"/>
          <w:sz w:val="18"/>
        </w:rPr>
        <w:t>Courage to Lead (2/2): Executing a $3.0B divestiture of the Anadarko position while simultaneously committing capital to two sequential Montney acquisitions (Paramount in 2024, NuVista in 2025) reflects a repeated pattern of decisive, multi-billion-dollar capital allocation bets made to reposition the company for long-term basin economics rather than short-term production maximization [1].</w:t>
      </w:r>
    </w:p>
    <w:tbl>
      <w:tblPr>
        <w:jc w:val="left"/>
        <w:tblLook w:firstColumn="1" w:firstRow="1" w:lastColumn="0" w:lastRow="0" w:noHBand="0" w:noVBand="1" w:val="04A0"/>
        <w:tblBorders>
          <w:top w:val="none" w:sz="0" w:space="0" w:color="auto"/>
          <w:left w:val="none" w:sz="0" w:space="0" w:color="auto"/>
          <w:bottom w:val="none" w:sz="0" w:space="0" w:color="auto"/>
          <w:right w:val="none" w:sz="0" w:space="0" w:color="auto"/>
          <w:insideH w:val="none" w:sz="0" w:space="0" w:color="auto"/>
          <w:insideV w:val="none" w:sz="0" w:space="0" w:color="auto"/>
        </w:tblBorders>
        <w:tblW w:w="5000" w:type="pct"/>
      </w:tblPr>
      <w:tblGrid>
        <w:gridCol w:w="10800"/>
      </w:tblGrid>
      <w:tr>
        <w:tc>
          <w:tcPr>
            <w:tcW w:type="dxa" w:w="10800"/>
            <w:tcBorders>
              <w:bottom w:val="single" w:sz="8" w:space="0" w:color="B8860B"/>
            </w:tcBorders>
          </w:tcPr>
          <w:p>
            <w:pPr>
              <w:spacing w:before="240" w:after="80"/>
            </w:pPr>
            <w:r>
              <w:rPr>
                <w:rFonts w:ascii="Calibri" w:hAnsi="Calibri"/>
                <w:b/>
                <w:color w:val="6E8450"/>
                <w:sz w:val="17"/>
              </w:rPr>
              <w:t>INVESTMENT THESIS</w:t>
            </w:r>
          </w:p>
        </w:tc>
      </w:tr>
    </w:tbl>
    <w:p>
      <w:pPr>
        <w:spacing w:after="120"/>
      </w:pPr>
      <w:r>
        <w:rPr>
          <w:rFonts w:ascii="Calibri" w:hAnsi="Calibri"/>
          <w:b w:val="0"/>
          <w:color w:val="3A4A28"/>
          <w:sz w:val="20"/>
        </w:rPr>
        <w:t>Ovintiv trades at a modest 8.82x forward earnings after completing a multi-year portfolio transformation — divesting its Anadarko position for $3.0 billion while adding high-quality Montney inventory through the Paramount (2024) and NuVista (2025) acquisitions — concentrating the company on two of North America's most economic basins [1]. Q2 2026 results showed debt reduction and increased shareholder returns, D/E of 43.7% is comfortably below the 70% target, and the company is deploying AI-driven drilling and completions optimization to improve cycle times and reduce risk in real time [1][2]. The Inspire Impact Score of 38 (ALIGNED) reflects strong marks on air quality, GHG emissions, and ethical labor practices, and AI Resilience is exceptionally strong (8/9 risk protection) given the physical, AI-immune nature of hydrocarbon extraction.</w:t>
      </w:r>
    </w:p>
    <w:p>
      <w:pPr>
        <w:spacing w:after="120"/>
      </w:pPr>
      <w:r>
        <w:rPr>
          <w:rFonts w:ascii="Calibri" w:hAnsi="Calibri"/>
          <w:b w:val="0"/>
          <w:color w:val="3A4A28"/>
          <w:sz w:val="20"/>
        </w:rPr>
        <w:t>The bear case centers on modest core profitability and mixed growth optics: ROE of 8.41% and profit margin of 9.66% both sit well below Infrastructure targets, and the 3-year revenue CAGR is negative (~-10.4%) because the Anadarko/Uinta divestitures shrank the reported revenue base even as the remaining Permian-Montney portfolio is higher-quality — a distinction the mechanical scoring algorithm cannot capture. Forward PEG of 1.85 suggests the stock is not particularly cheap relative to near-term earnings growth expectations despite the low absolute P/E multiple typical of commodity producers. Dividend growth has stalled — the payout has been flat at $0.30/quarter since 2023, yielding a 5yr dividend CAGR near 0% — and Inspiration evidence is thin, with no distinctive mission, community, retention, or insider-buying data identified. A 2024 EPA enforcement settlement over Uinta Basin methane and VOC emissions (illegal releases contributing to respiratory illness and climate impact) sits in tension with the company's own claims of eliminating routine flaring ahead of World Bank targets, an execution gap faith-based and ESG-conscious investors should weigh [3].</w:t>
      </w:r>
    </w:p>
    <w:tbl>
      <w:tblPr>
        <w:jc w:val="left"/>
        <w:tblLook w:firstColumn="1" w:firstRow="1" w:lastColumn="0" w:lastRow="0" w:noHBand="0" w:noVBand="1" w:val="04A0"/>
        <w:tblBorders>
          <w:top w:val="none" w:sz="0" w:space="0" w:color="auto"/>
          <w:left w:val="none" w:sz="0" w:space="0" w:color="auto"/>
          <w:bottom w:val="none" w:sz="0" w:space="0" w:color="auto"/>
          <w:right w:val="none" w:sz="0" w:space="0" w:color="auto"/>
          <w:insideH w:val="none" w:sz="0" w:space="0" w:color="auto"/>
          <w:insideV w:val="none" w:sz="0" w:space="0" w:color="auto"/>
        </w:tblBorders>
        <w:tblW w:w="5000" w:type="pct"/>
      </w:tblPr>
      <w:tblGrid>
        <w:gridCol w:w="10800"/>
      </w:tblGrid>
      <w:tr>
        <w:tc>
          <w:tcPr>
            <w:tcW w:type="dxa" w:w="10800"/>
            <w:tcBorders>
              <w:bottom w:val="single" w:sz="8" w:space="0" w:color="16A34A"/>
            </w:tcBorders>
          </w:tcPr>
          <w:p>
            <w:pPr>
              <w:spacing w:before="240" w:after="80"/>
            </w:pPr>
            <w:r>
              <w:rPr>
                <w:rFonts w:ascii="Calibri" w:hAnsi="Calibri"/>
                <w:b/>
                <w:color w:val="6E8450"/>
                <w:sz w:val="17"/>
              </w:rPr>
              <w:t>KEY CATALYSTS</w:t>
            </w:r>
          </w:p>
        </w:tc>
      </w:tr>
    </w:tbl>
    <w:p>
      <w:pPr>
        <w:spacing w:before="40" w:after="40"/>
        <w:ind w:left="283"/>
      </w:pPr>
      <w:r>
        <w:rPr>
          <w:rFonts w:ascii="Calibri" w:hAnsi="Calibri"/>
          <w:b/>
          <w:color w:val="4A6B25"/>
          <w:sz w:val="20"/>
        </w:rPr>
        <w:t xml:space="preserve">1. </w:t>
      </w:r>
      <w:r>
        <w:rPr>
          <w:rFonts w:ascii="Calibri" w:hAnsi="Calibri"/>
          <w:b w:val="0"/>
          <w:color w:val="3A4A28"/>
          <w:sz w:val="20"/>
        </w:rPr>
        <w:t>Full integration of NuVista's ~930 Montney locations (acquired November 2025) alongside the 2024 Paramount Montney assets, targeting GP&amp;T and capital efficiency synergies across the combined position [1]</w:t>
      </w:r>
    </w:p>
    <w:p>
      <w:pPr>
        <w:spacing w:before="40" w:after="40"/>
        <w:ind w:left="283"/>
      </w:pPr>
      <w:r>
        <w:rPr>
          <w:rFonts w:ascii="Calibri" w:hAnsi="Calibri"/>
          <w:b/>
          <w:color w:val="4A6B25"/>
          <w:sz w:val="20"/>
        </w:rPr>
        <w:t xml:space="preserve">2. </w:t>
      </w:r>
      <w:r>
        <w:rPr>
          <w:rFonts w:ascii="Calibri" w:hAnsi="Calibri"/>
          <w:b w:val="0"/>
          <w:color w:val="3A4A28"/>
          <w:sz w:val="20"/>
        </w:rPr>
        <w:t>Continued debt reduction and shareholder return increases following the $3.0B Anadarko divestiture, which management highlighted as a Q2 2026 theme [1]</w:t>
      </w:r>
    </w:p>
    <w:p>
      <w:pPr>
        <w:spacing w:before="40" w:after="40"/>
        <w:ind w:left="283"/>
      </w:pPr>
      <w:r>
        <w:rPr>
          <w:rFonts w:ascii="Calibri" w:hAnsi="Calibri"/>
          <w:b/>
          <w:color w:val="4A6B25"/>
          <w:sz w:val="20"/>
        </w:rPr>
        <w:t xml:space="preserve">3. </w:t>
      </w:r>
      <w:r>
        <w:rPr>
          <w:rFonts w:ascii="Calibri" w:hAnsi="Calibri"/>
          <w:b w:val="0"/>
          <w:color w:val="3A4A28"/>
          <w:sz w:val="20"/>
        </w:rPr>
        <w:t>Expanded deployment of AI-driven real-time drilling and completions optimization to further reduce cycle times and capital intensity across the Permian and Montney programs [2]</w:t>
      </w:r>
    </w:p>
    <w:tbl>
      <w:tblPr>
        <w:jc w:val="left"/>
        <w:tblLook w:firstColumn="1" w:firstRow="1" w:lastColumn="0" w:lastRow="0" w:noHBand="0" w:noVBand="1" w:val="04A0"/>
        <w:tblBorders>
          <w:top w:val="none" w:sz="0" w:space="0" w:color="auto"/>
          <w:left w:val="none" w:sz="0" w:space="0" w:color="auto"/>
          <w:bottom w:val="none" w:sz="0" w:space="0" w:color="auto"/>
          <w:right w:val="none" w:sz="0" w:space="0" w:color="auto"/>
          <w:insideH w:val="none" w:sz="0" w:space="0" w:color="auto"/>
          <w:insideV w:val="none" w:sz="0" w:space="0" w:color="auto"/>
        </w:tblBorders>
        <w:tblW w:w="5000" w:type="pct"/>
      </w:tblPr>
      <w:tblGrid>
        <w:gridCol w:w="10800"/>
      </w:tblGrid>
      <w:tr>
        <w:tc>
          <w:tcPr>
            <w:tcW w:type="dxa" w:w="10800"/>
            <w:tcBorders>
              <w:bottom w:val="single" w:sz="8" w:space="0" w:color="DC2626"/>
            </w:tcBorders>
          </w:tcPr>
          <w:p>
            <w:pPr>
              <w:spacing w:before="240" w:after="80"/>
            </w:pPr>
            <w:r>
              <w:rPr>
                <w:rFonts w:ascii="Calibri" w:hAnsi="Calibri"/>
                <w:b/>
                <w:color w:val="6E8450"/>
                <w:sz w:val="17"/>
              </w:rPr>
              <w:t>KEY RISKS</w:t>
            </w:r>
          </w:p>
        </w:tc>
      </w:tr>
    </w:tbl>
    <w:p>
      <w:pPr>
        <w:spacing w:before="40" w:after="40"/>
        <w:ind w:left="283"/>
      </w:pPr>
      <w:r>
        <w:rPr>
          <w:rFonts w:ascii="Calibri" w:hAnsi="Calibri"/>
          <w:b/>
          <w:color w:val="4A6B25"/>
          <w:sz w:val="20"/>
        </w:rPr>
        <w:t xml:space="preserve">1. </w:t>
      </w:r>
      <w:r>
        <w:rPr>
          <w:rFonts w:ascii="Calibri" w:hAnsi="Calibri"/>
          <w:b w:val="0"/>
          <w:color w:val="3A4A28"/>
          <w:sz w:val="20"/>
        </w:rPr>
        <w:t>Commodity price volatility remains the dominant swing factor for an E&amp;P producer regardless of portfolio quality, and 2026 guidance of 630-645 MBOE/d at &lt;$2.5B capex assumes a stable price environment [1]</w:t>
      </w:r>
    </w:p>
    <w:p>
      <w:pPr>
        <w:spacing w:before="40" w:after="40"/>
        <w:ind w:left="283"/>
      </w:pPr>
      <w:r>
        <w:rPr>
          <w:rFonts w:ascii="Calibri" w:hAnsi="Calibri"/>
          <w:b/>
          <w:color w:val="4A6B25"/>
          <w:sz w:val="20"/>
        </w:rPr>
        <w:t xml:space="preserve">2. </w:t>
      </w:r>
      <w:r>
        <w:rPr>
          <w:rFonts w:ascii="Calibri" w:hAnsi="Calibri"/>
          <w:b w:val="0"/>
          <w:color w:val="3A4A28"/>
          <w:sz w:val="20"/>
        </w:rPr>
        <w:t>Negative 3-year revenue CAGR (~-10.4%) driven by the Anadarko/Uinta divestitures could weigh on headline growth optics even as underlying per-location economics improve, creating a disconnect that may confuse growth-oriented screens [1]</w:t>
      </w:r>
    </w:p>
    <w:p>
      <w:pPr>
        <w:spacing w:before="40" w:after="40"/>
        <w:ind w:left="283"/>
      </w:pPr>
      <w:r>
        <w:rPr>
          <w:rFonts w:ascii="Calibri" w:hAnsi="Calibri"/>
          <w:b/>
          <w:color w:val="4A6B25"/>
          <w:sz w:val="20"/>
        </w:rPr>
        <w:t xml:space="preserve">3. </w:t>
      </w:r>
      <w:r>
        <w:rPr>
          <w:rFonts w:ascii="Calibri" w:hAnsi="Calibri"/>
          <w:b w:val="0"/>
          <w:color w:val="3A4A28"/>
          <w:sz w:val="20"/>
        </w:rPr>
        <w:t>Regulatory and environmental exposure demonstrated by the 2024 EPA settlement over Uinta Basin methane/VOC emissions, underscoring ongoing compliance risk even as the company touts flaring-elimination achievements [3]</w:t>
      </w:r>
    </w:p>
    <w:tbl>
      <w:tblPr>
        <w:jc w:val="left"/>
        <w:tblLook w:firstColumn="1" w:firstRow="1" w:lastColumn="0" w:lastRow="0" w:noHBand="0" w:noVBand="1" w:val="04A0"/>
        <w:tblBorders>
          <w:top w:val="none" w:sz="0" w:space="0" w:color="auto"/>
          <w:left w:val="none" w:sz="0" w:space="0" w:color="auto"/>
          <w:bottom w:val="none" w:sz="0" w:space="0" w:color="auto"/>
          <w:right w:val="none" w:sz="0" w:space="0" w:color="auto"/>
          <w:insideH w:val="none" w:sz="0" w:space="0" w:color="auto"/>
          <w:insideV w:val="none" w:sz="0" w:space="0" w:color="auto"/>
        </w:tblBorders>
        <w:tblW w:w="5000" w:type="pct"/>
      </w:tblPr>
      <w:tblGrid>
        <w:gridCol w:w="10800"/>
      </w:tblGrid>
      <w:tr>
        <w:tc>
          <w:tcPr>
            <w:tcW w:type="dxa" w:w="10800"/>
            <w:tcBorders>
              <w:bottom w:val="single" w:sz="8" w:space="0" w:color="B8860B"/>
            </w:tcBorders>
          </w:tcPr>
          <w:p>
            <w:pPr>
              <w:spacing w:before="240" w:after="80"/>
            </w:pPr>
            <w:r>
              <w:rPr>
                <w:rFonts w:ascii="Calibri" w:hAnsi="Calibri"/>
                <w:b/>
                <w:color w:val="6E8450"/>
                <w:sz w:val="17"/>
              </w:rPr>
              <w:t>AI RESILIENCE (25%)</w:t>
            </w:r>
          </w:p>
        </w:tc>
      </w:tr>
    </w:tbl>
    <w:p>
      <w:pPr>
        <w:spacing w:before="200" w:after="40"/>
      </w:pPr>
      <w:r>
        <w:rPr>
          <w:rFonts w:ascii="Calibri" w:hAnsi="Calibri"/>
          <w:b/>
          <w:color w:val="1A2010"/>
          <w:sz w:val="22"/>
        </w:rPr>
        <w:t>AI Resilience</w:t>
      </w:r>
      <w:r>
        <w:rPr>
          <w:rFonts w:ascii="Calibri" w:hAnsi="Calibri"/>
          <w:b w:val="0"/>
          <w:color w:val="1A2010"/>
          <w:sz w:val="22"/>
        </w:rPr>
        <w:t xml:space="preserve">  </w:t>
      </w:r>
      <w:r>
        <w:rPr>
          <w:rFonts w:ascii="Calibri" w:hAnsi="Calibri"/>
          <w:b/>
          <w:color w:val="16A34A"/>
          <w:sz w:val="16"/>
        </w:rPr>
        <w:t xml:space="preserve"> LOW RISK </w:t>
      </w:r>
    </w:p>
    <w:p>
      <w:pPr>
        <w:spacing w:before="0" w:after="40"/>
      </w:pPr>
      <w:r>
        <w:rPr>
          <w:rFonts w:ascii="Calibri" w:hAnsi="Calibri"/>
          <w:b/>
          <w:color w:val="16A34A"/>
          <w:sz w:val="28"/>
        </w:rPr>
        <w:t>8</w:t>
      </w:r>
      <w:r>
        <w:rPr>
          <w:rFonts w:ascii="Calibri" w:hAnsi="Calibri"/>
          <w:b w:val="0"/>
          <w:color w:val="9DAF88"/>
          <w:sz w:val="18"/>
        </w:rPr>
        <w:t xml:space="preserve"> /10</w:t>
      </w:r>
    </w:p>
    <w:tbl>
      <w:tblPr>
        <w:jc w:val="left"/>
        <w:tblLook w:firstColumn="1" w:firstRow="1" w:lastColumn="0" w:lastRow="0" w:noHBand="0" w:noVBand="1" w:val="04A0"/>
        <w:tblBorders>
          <w:top w:val="none" w:sz="0" w:space="0" w:color="auto"/>
          <w:left w:val="none" w:sz="0" w:space="0" w:color="auto"/>
          <w:bottom w:val="none" w:sz="0" w:space="0" w:color="auto"/>
          <w:right w:val="none" w:sz="0" w:space="0" w:color="auto"/>
          <w:insideH w:val="none" w:sz="0" w:space="0" w:color="auto"/>
          <w:insideV w:val="none" w:sz="0" w:space="0" w:color="auto"/>
        </w:tblBorders>
        <w:tblW w:w="3500" w:type="dxa"/>
      </w:tblPr>
      <w:tblGrid>
        <w:gridCol w:w="5400"/>
        <w:gridCol w:w="5400"/>
      </w:tblGrid>
      <w:tr>
        <w:trPr>
          <w:trHeight w:val="170"/>
        </w:trPr>
        <w:tc>
          <w:tcPr>
            <w:tcW w:type="dxa" w:w="4409"/>
            <w:shd w:fill="16A34A" w:val="clear"/>
          </w:tcPr>
          <w:p>
            <w:pPr>
              <w:spacing w:before="0" w:after="0"/>
            </w:pPr>
            <w:r>
              <w:rPr>
                <w:rFonts w:ascii="Calibri" w:hAnsi="Calibri"/>
                <w:b w:val="0"/>
                <w:color w:val="1A2010"/>
                <w:sz w:val="4"/>
              </w:rPr>
            </w:r>
          </w:p>
        </w:tc>
        <w:tc>
          <w:tcPr>
            <w:tcW w:type="dxa" w:w="1102"/>
            <w:shd w:fill="EDEFE8" w:val="clear"/>
          </w:tcPr>
          <w:p>
            <w:pPr>
              <w:spacing w:before="0" w:after="0"/>
            </w:pPr>
            <w:r>
              <w:rPr>
                <w:rFonts w:ascii="Calibri" w:hAnsi="Calibri"/>
                <w:b w:val="0"/>
                <w:color w:val="1A2010"/>
                <w:sz w:val="4"/>
              </w:rPr>
            </w:r>
          </w:p>
        </w:tc>
      </w:tr>
    </w:tbl>
    <w:p>
      <w:pPr>
        <w:spacing w:before="60" w:after="120"/>
      </w:pPr>
      <w:r>
        <w:rPr>
          <w:rFonts w:ascii="Calibri" w:hAnsi="Calibri"/>
          <w:b w:val="0"/>
          <w:color w:val="3A4A28"/>
          <w:sz w:val="18"/>
        </w:rPr>
        <w:t>AI Risk Protection (8/9): Oil and gas exploration and production is a physical-world commodity business that AI cannot structurally displace — no analyst commentary in research raised AI substitution risk for Ovintiv's core business, and rising AI/data-center electricity demand is, if anything, a modest secondary tailwind for natural gas demand [1]. AI Opportunity (0/1): The company uses AI/advanced analytics internally to optimize drilling and completions in real time [2], but this is an operational efficiency tool rather than a quantified AI revenue stream, so no opportunity point is awarded.</w:t>
      </w:r>
    </w:p>
    <w:tbl>
      <w:tblPr>
        <w:jc w:val="left"/>
        <w:tblLook w:firstColumn="1" w:firstRow="1" w:lastColumn="0" w:lastRow="0" w:noHBand="0" w:noVBand="1" w:val="04A0"/>
        <w:tblBorders>
          <w:top w:val="none" w:sz="0" w:space="0" w:color="auto"/>
          <w:left w:val="none" w:sz="0" w:space="0" w:color="auto"/>
          <w:bottom w:val="none" w:sz="0" w:space="0" w:color="auto"/>
          <w:right w:val="none" w:sz="0" w:space="0" w:color="auto"/>
          <w:insideH w:val="none" w:sz="0" w:space="0" w:color="auto"/>
          <w:insideV w:val="none" w:sz="0" w:space="0" w:color="auto"/>
        </w:tblBorders>
        <w:tblW w:w="5000" w:type="pct"/>
      </w:tblPr>
      <w:tblGrid>
        <w:gridCol w:w="10800"/>
      </w:tblGrid>
      <w:tr>
        <w:tc>
          <w:tcPr>
            <w:tcW w:type="dxa" w:w="10800"/>
            <w:tcBorders>
              <w:bottom w:val="single" w:sz="8" w:space="0" w:color="B8860B"/>
            </w:tcBorders>
          </w:tcPr>
          <w:p>
            <w:pPr>
              <w:spacing w:before="240" w:after="80"/>
            </w:pPr>
            <w:r>
              <w:rPr>
                <w:rFonts w:ascii="Calibri" w:hAnsi="Calibri"/>
                <w:b/>
                <w:color w:val="6E8450"/>
                <w:sz w:val="17"/>
              </w:rPr>
              <w:t>FAITH ALIGNMENT — INSPIRE INSIGHT</w:t>
            </w:r>
          </w:p>
        </w:tc>
      </w:tr>
    </w:tbl>
    <w:p>
      <w:pPr>
        <w:spacing w:after="40"/>
      </w:pPr>
      <w:r>
        <w:rPr>
          <w:rFonts w:ascii="Calibri" w:hAnsi="Calibri"/>
          <w:b w:val="0"/>
          <w:color w:val="6E8450"/>
          <w:sz w:val="22"/>
        </w:rPr>
        <w:t xml:space="preserve">Inspire Impact Score:  </w:t>
      </w:r>
      <w:r>
        <w:rPr>
          <w:rFonts w:ascii="Calibri" w:hAnsi="Calibri"/>
          <w:b/>
          <w:color w:val="16A34A"/>
          <w:sz w:val="28"/>
        </w:rPr>
        <w:t>38</w:t>
      </w:r>
      <w:r>
        <w:rPr>
          <w:rFonts w:ascii="Calibri" w:hAnsi="Calibri"/>
          <w:b/>
          <w:color w:val="B8860B"/>
          <w:sz w:val="20"/>
        </w:rPr>
        <w:t xml:space="preserve">    ALIGNED</w:t>
      </w:r>
    </w:p>
    <w:p>
      <w:pPr>
        <w:spacing w:before="80" w:after="40"/>
      </w:pPr>
      <w:r>
        <w:rPr>
          <w:rFonts w:ascii="Calibri" w:hAnsi="Calibri"/>
          <w:b/>
          <w:color w:val="6E8450"/>
          <w:sz w:val="18"/>
        </w:rPr>
        <w:t xml:space="preserve">Positive: </w:t>
      </w:r>
      <w:r>
        <w:rPr>
          <w:rFonts w:ascii="Calibri" w:hAnsi="Calibri"/>
          <w:b/>
          <w:color w:val="16A34A"/>
          <w:sz w:val="17"/>
        </w:rPr>
        <w:t xml:space="preserve"> Air Quality </w:t>
      </w:r>
      <w:r>
        <w:rPr>
          <w:rFonts w:ascii="Calibri" w:hAnsi="Calibri"/>
          <w:b w:val="0"/>
          <w:color w:val="9DAF88"/>
          <w:sz w:val="17"/>
        </w:rPr>
        <w:t xml:space="preserve">  ·  </w:t>
      </w:r>
      <w:r>
        <w:rPr>
          <w:rFonts w:ascii="Calibri" w:hAnsi="Calibri"/>
          <w:b/>
          <w:color w:val="16A34A"/>
          <w:sz w:val="17"/>
        </w:rPr>
        <w:t xml:space="preserve"> Business Resilience </w:t>
      </w:r>
      <w:r>
        <w:rPr>
          <w:rFonts w:ascii="Calibri" w:hAnsi="Calibri"/>
          <w:b w:val="0"/>
          <w:color w:val="9DAF88"/>
          <w:sz w:val="17"/>
        </w:rPr>
        <w:t xml:space="preserve">  ·  </w:t>
      </w:r>
      <w:r>
        <w:rPr>
          <w:rFonts w:ascii="Calibri" w:hAnsi="Calibri"/>
          <w:b/>
          <w:color w:val="16A34A"/>
          <w:sz w:val="17"/>
        </w:rPr>
        <w:t xml:space="preserve"> Customer Privacy </w:t>
      </w:r>
      <w:r>
        <w:rPr>
          <w:rFonts w:ascii="Calibri" w:hAnsi="Calibri"/>
          <w:b w:val="0"/>
          <w:color w:val="9DAF88"/>
          <w:sz w:val="17"/>
        </w:rPr>
        <w:t xml:space="preserve">  ·  </w:t>
      </w:r>
      <w:r>
        <w:rPr>
          <w:rFonts w:ascii="Calibri" w:hAnsi="Calibri"/>
          <w:b/>
          <w:color w:val="16A34A"/>
          <w:sz w:val="17"/>
        </w:rPr>
        <w:t xml:space="preserve"> Data Security </w:t>
      </w:r>
      <w:r>
        <w:rPr>
          <w:rFonts w:ascii="Calibri" w:hAnsi="Calibri"/>
          <w:b w:val="0"/>
          <w:color w:val="9DAF88"/>
          <w:sz w:val="17"/>
        </w:rPr>
        <w:t xml:space="preserve">  ·  </w:t>
      </w:r>
      <w:r>
        <w:rPr>
          <w:rFonts w:ascii="Calibri" w:hAnsi="Calibri"/>
          <w:b/>
          <w:color w:val="16A34A"/>
          <w:sz w:val="17"/>
        </w:rPr>
        <w:t xml:space="preserve"> Employee Wellbeing </w:t>
      </w:r>
      <w:r>
        <w:rPr>
          <w:rFonts w:ascii="Calibri" w:hAnsi="Calibri"/>
          <w:b w:val="0"/>
          <w:color w:val="9DAF88"/>
          <w:sz w:val="17"/>
        </w:rPr>
        <w:t xml:space="preserve">  ·  </w:t>
      </w:r>
      <w:r>
        <w:rPr>
          <w:rFonts w:ascii="Calibri" w:hAnsi="Calibri"/>
          <w:b/>
          <w:color w:val="16A34A"/>
          <w:sz w:val="17"/>
        </w:rPr>
        <w:t xml:space="preserve"> Energy Management </w:t>
      </w:r>
      <w:r>
        <w:rPr>
          <w:rFonts w:ascii="Calibri" w:hAnsi="Calibri"/>
          <w:b w:val="0"/>
          <w:color w:val="9DAF88"/>
          <w:sz w:val="17"/>
        </w:rPr>
        <w:t xml:space="preserve">  ·  </w:t>
      </w:r>
      <w:r>
        <w:rPr>
          <w:rFonts w:ascii="Calibri" w:hAnsi="Calibri"/>
          <w:b/>
          <w:color w:val="16A34A"/>
          <w:sz w:val="17"/>
        </w:rPr>
        <w:t xml:space="preserve"> Ethical Labor Practices </w:t>
      </w:r>
      <w:r>
        <w:rPr>
          <w:rFonts w:ascii="Calibri" w:hAnsi="Calibri"/>
          <w:b w:val="0"/>
          <w:color w:val="9DAF88"/>
          <w:sz w:val="17"/>
        </w:rPr>
        <w:t xml:space="preserve">  ·  </w:t>
      </w:r>
      <w:r>
        <w:rPr>
          <w:rFonts w:ascii="Calibri" w:hAnsi="Calibri"/>
          <w:b/>
          <w:color w:val="16A34A"/>
          <w:sz w:val="17"/>
        </w:rPr>
        <w:t xml:space="preserve"> Ethical Supply Chain Management </w:t>
      </w:r>
      <w:r>
        <w:rPr>
          <w:rFonts w:ascii="Calibri" w:hAnsi="Calibri"/>
          <w:b w:val="0"/>
          <w:color w:val="9DAF88"/>
          <w:sz w:val="17"/>
        </w:rPr>
        <w:t xml:space="preserve">  ·  </w:t>
      </w:r>
      <w:r>
        <w:rPr>
          <w:rFonts w:ascii="Calibri" w:hAnsi="Calibri"/>
          <w:b/>
          <w:color w:val="16A34A"/>
          <w:sz w:val="17"/>
        </w:rPr>
        <w:t xml:space="preserve"> GHG Emissions </w:t>
      </w:r>
      <w:r>
        <w:rPr>
          <w:rFonts w:ascii="Calibri" w:hAnsi="Calibri"/>
          <w:b w:val="0"/>
          <w:color w:val="9DAF88"/>
          <w:sz w:val="17"/>
        </w:rPr>
        <w:t xml:space="preserve">  ·  </w:t>
      </w:r>
      <w:r>
        <w:rPr>
          <w:rFonts w:ascii="Calibri" w:hAnsi="Calibri"/>
          <w:b/>
          <w:color w:val="16A34A"/>
          <w:sz w:val="17"/>
        </w:rPr>
        <w:t xml:space="preserve"> Hiring Ethics </w:t>
      </w:r>
      <w:r>
        <w:rPr>
          <w:rFonts w:ascii="Calibri" w:hAnsi="Calibri"/>
          <w:b w:val="0"/>
          <w:color w:val="9DAF88"/>
          <w:sz w:val="17"/>
        </w:rPr>
        <w:t xml:space="preserve">  ·  </w:t>
      </w:r>
      <w:r>
        <w:rPr>
          <w:rFonts w:ascii="Calibri" w:hAnsi="Calibri"/>
          <w:b/>
          <w:color w:val="16A34A"/>
          <w:sz w:val="17"/>
        </w:rPr>
        <w:t xml:space="preserve"> Materials Efficiency </w:t>
      </w:r>
      <w:r>
        <w:rPr>
          <w:rFonts w:ascii="Calibri" w:hAnsi="Calibri"/>
          <w:b w:val="0"/>
          <w:color w:val="9DAF88"/>
          <w:sz w:val="17"/>
        </w:rPr>
        <w:t xml:space="preserve">  ·  </w:t>
      </w:r>
      <w:r>
        <w:rPr>
          <w:rFonts w:ascii="Calibri" w:hAnsi="Calibri"/>
          <w:b/>
          <w:color w:val="16A34A"/>
          <w:sz w:val="17"/>
        </w:rPr>
        <w:t xml:space="preserve"> Product Access and Affordability </w:t>
      </w:r>
      <w:r>
        <w:rPr>
          <w:rFonts w:ascii="Calibri" w:hAnsi="Calibri"/>
          <w:b w:val="0"/>
          <w:color w:val="9DAF88"/>
          <w:sz w:val="17"/>
        </w:rPr>
        <w:t xml:space="preserve">  ·  </w:t>
      </w:r>
      <w:r>
        <w:rPr>
          <w:rFonts w:ascii="Calibri" w:hAnsi="Calibri"/>
          <w:b/>
          <w:color w:val="16A34A"/>
          <w:sz w:val="17"/>
        </w:rPr>
        <w:t xml:space="preserve"> Product Sustainability </w:t>
      </w:r>
    </w:p>
    <w:p>
      <w:pPr>
        <w:spacing w:before="120"/>
      </w:pPr>
      <w:r>
        <w:rPr>
          <w:rFonts w:ascii="Calibri" w:hAnsi="Calibri"/>
          <w:b w:val="0"/>
          <w:color w:val="9DAF88"/>
          <w:sz w:val="15"/>
        </w:rPr>
        <w:t>Source: Inspire Insight</w:t>
      </w:r>
    </w:p>
    <w:tbl>
      <w:tblPr>
        <w:jc w:val="left"/>
        <w:tblLook w:firstColumn="1" w:firstRow="1" w:lastColumn="0" w:lastRow="0" w:noHBand="0" w:noVBand="1" w:val="04A0"/>
        <w:tblBorders>
          <w:top w:val="none" w:sz="0" w:space="0" w:color="auto"/>
          <w:left w:val="none" w:sz="0" w:space="0" w:color="auto"/>
          <w:bottom w:val="none" w:sz="0" w:space="0" w:color="auto"/>
          <w:right w:val="none" w:sz="0" w:space="0" w:color="auto"/>
          <w:insideH w:val="none" w:sz="0" w:space="0" w:color="auto"/>
          <w:insideV w:val="none" w:sz="0" w:space="0" w:color="auto"/>
        </w:tblBorders>
        <w:tblW w:w="5000" w:type="pct"/>
      </w:tblPr>
      <w:tblGrid>
        <w:gridCol w:w="10800"/>
      </w:tblGrid>
      <w:tr>
        <w:tc>
          <w:tcPr>
            <w:tcW w:type="dxa" w:w="10800"/>
            <w:tcBorders>
              <w:bottom w:val="single" w:sz="8" w:space="0" w:color="B8860B"/>
            </w:tcBorders>
          </w:tcPr>
          <w:p>
            <w:pPr>
              <w:spacing w:before="240" w:after="80"/>
            </w:pPr>
            <w:r>
              <w:rPr>
                <w:rFonts w:ascii="Calibri" w:hAnsi="Calibri"/>
                <w:b/>
                <w:color w:val="6E8450"/>
                <w:sz w:val="17"/>
              </w:rPr>
              <w:t>RESOURCES</w:t>
            </w:r>
          </w:p>
        </w:tc>
      </w:tr>
    </w:tbl>
    <w:p>
      <w:pPr>
        <w:spacing w:before="20" w:after="20"/>
        <w:ind w:left="170"/>
      </w:pPr>
      <w:r>
        <w:rPr>
          <w:rFonts w:ascii="Calibri" w:hAnsi="Calibri"/>
          <w:b/>
          <w:color w:val="4A6B25"/>
          <w:sz w:val="15"/>
        </w:rPr>
        <w:t xml:space="preserve">1. </w:t>
      </w:r>
      <w:r>
        <w:rPr>
          <w:rFonts w:ascii="Calibri" w:hAnsi="Calibri"/>
          <w:b w:val="0"/>
          <w:color w:val="3A4A28"/>
          <w:sz w:val="17"/>
        </w:rPr>
        <w:t>Ovintiv Q2 2026 Earnings and Portfolio Transformation — Paramount/NuVista Montney Acquisitions, $3.0B Anadarko Divestiture — Investing.com, Yahoo Finance, SimplyWall St, August 2026</w:t>
      </w:r>
    </w:p>
    <w:p>
      <w:pPr>
        <w:spacing w:before="20" w:after="20"/>
        <w:ind w:left="170"/>
      </w:pPr>
      <w:r>
        <w:rPr>
          <w:rFonts w:ascii="Calibri" w:hAnsi="Calibri"/>
          <w:b/>
          <w:color w:val="4A6B25"/>
          <w:sz w:val="15"/>
        </w:rPr>
        <w:t xml:space="preserve">2. </w:t>
      </w:r>
      <w:r>
        <w:rPr>
          <w:rFonts w:ascii="Calibri" w:hAnsi="Calibri"/>
          <w:b w:val="0"/>
          <w:color w:val="3A4A28"/>
          <w:sz w:val="17"/>
        </w:rPr>
        <w:t>Ovintiv Leadership and AI-Driven Drilling Optimization — Ovintiv.com Leadership and Innovation pages, Microsoft Customer Stories, 2026</w:t>
      </w:r>
    </w:p>
    <w:p>
      <w:pPr>
        <w:spacing w:before="20" w:after="20"/>
        <w:ind w:left="170"/>
      </w:pPr>
      <w:r>
        <w:rPr>
          <w:rFonts w:ascii="Calibri" w:hAnsi="Calibri"/>
          <w:b/>
          <w:color w:val="4A6B25"/>
          <w:sz w:val="15"/>
        </w:rPr>
        <w:t xml:space="preserve">3. </w:t>
      </w:r>
      <w:r>
        <w:rPr>
          <w:rFonts w:ascii="Calibri" w:hAnsi="Calibri"/>
          <w:b w:val="0"/>
          <w:color w:val="3A4A28"/>
          <w:sz w:val="17"/>
        </w:rPr>
        <w:t>Ovintiv USA Inc. EPA Clean Air Act Settlement — Uinta Basin Methane and VOC Emissions (~$16M) — Natural Gas Intel, EPA.gov Enforcement Case Summary, 2024</w:t>
      </w:r>
    </w:p>
    <w:p>
      <w:pPr>
        <w:spacing w:before="20" w:after="20"/>
        <w:ind w:left="170"/>
      </w:pPr>
      <w:r>
        <w:rPr>
          <w:rFonts w:ascii="Calibri" w:hAnsi="Calibri"/>
          <w:b/>
          <w:color w:val="4A6B25"/>
          <w:sz w:val="15"/>
        </w:rPr>
        <w:t xml:space="preserve">4. </w:t>
      </w:r>
      <w:r>
        <w:rPr>
          <w:rFonts w:ascii="Calibri" w:hAnsi="Calibri"/>
          <w:b w:val="0"/>
          <w:color w:val="3A4A28"/>
          <w:sz w:val="17"/>
        </w:rPr>
        <w:t>Yahoo Finance, StockAnalysis — OVV Key Statistics: Forward P/E 8.82x, ROE 8.41%, D/E 43.7%, Dividend Yield 1.86%, accessed August 2026</w:t>
      </w:r>
    </w:p>
    <w:p>
      <w:pPr>
        <w:spacing w:before="400"/>
        <w:jc w:val="center"/>
      </w:pPr>
      <w:r>
        <w:rPr>
          <w:rFonts w:ascii="Calibri" w:hAnsi="Calibri"/>
          <w:b w:val="0"/>
          <w:color w:val="9DAF88"/>
          <w:sz w:val="16"/>
        </w:rPr>
        <w:t>Paradiem, LLC dba Intentional Ownership (“IOWN”) is a registered investment advisor. The information provided is for educational and informational purposes only and does not constitute investment advice.</w:t>
      </w:r>
    </w:p>
    <w:sectPr w:rsidR="00FC693F" w:rsidRPr="0006063C" w:rsidSect="00034616">
      <w:pgSz w:w="12240" w:h="15840"/>
      <w:pgMar w:top="720" w:right="720" w:bottom="720" w:left="72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