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OXM</w:t>
      </w:r>
      <w:r>
        <w:rPr>
          <w:rFonts w:ascii="Calibri" w:hAnsi="Calibri"/>
          <w:b/>
          <w:color w:val="1A2010"/>
          <w:sz w:val="40"/>
        </w:rPr>
        <w:t xml:space="preserve">  Oxford Industries,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2026-10-06 · Inspire: 54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Cyclical · Apparel Manufacturing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Atlanta-based lifestyle apparel company owning Tommy Bahama, Lilly Pulitzer, Johnny Was and Duck Head, sold through owned retail, e-commerce, restaurants and wholesale.</w:t>
      </w:r>
    </w:p>
    <w:p>
      <w:r>
        <w:rPr>
          <w:rFonts w:ascii="Calibri" w:hAnsi="Calibri"/>
          <w:b/>
          <w:color w:val="6E8450"/>
          <w:sz w:val="18"/>
        </w:rPr>
        <w:t>https://www.oxfordinc.com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1/3: brand portfolio (Tommy Bahama, Lilly Pulitzer, Johnny Was) is mature and the last five years brought refreshes and Tommy Bahama restaurant/store formats rather than a transformative launch. AI 1/2: the 2026 10-K now references AI, and industry AI design tools are cited for faster iteration, but no quantified savings were found [2]. Share 1/2 as a mid-size lifestyle brand owner, pipeline 0/2 (no named next-gen launches), R&amp;D 0/1 (apparel, no R&amp;D line); FY2026 guide of $1.475-1.530B revenue implies modest growth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2/4: brands sell an aspirational island/coastal lifestyle with a clear purpose of delivering the best lifestyle brands, but it is not distinctive beyond the category [3]. Community 1/2: a Corporate Responsibility team formed at end of Fiscal 2022 and supplier code of conduct audits exist, but no dollar-denominated giving was found [4]. Retention 0/2 and insider buying 0/2: no retention data or net insider buying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Calculated mechanically (Dividend sleeve). D/E 92.8% scores 0.90, forward P/E 10.8 scores 1.0, revenue -2.2% YoY scores 0.59, ROE -1.2% and profit margin -0.5% both score 0, and 66 consecutive years paid (2x) scores 1.0; the remaining dividend metrics were unavailable and excluded. Weighted 4.49 of 7 gives 6. Liquidity floor clear: about $11M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Oxford is a durable but finite-minded brand operator: stable stewardship, but results hinge on quarterly brand performance and no overarching cause beyond lifestyle branding.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brand-lifestyle positioning is coherent but reads as marketing and interchangeable with apparel peers; strategic moves are driven by brand profitability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Tom Chubb describes a flat, teammate culture [5], but Glassdoor shows 3.0/5 with 43% recommending, so evidence is average.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learning-from-rivals language; competition framed around brand share and wholesale accounts.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evolved from private-label manufacturing into owned lifestyle brands and direct-to-consumer, an incremental rather than transformative shift.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(1/2): divested non-core brands (Lanier Apparel, Southern Tide) to focus on lifestyle brands, though FY2026 guidance was cut when Lilly Pulitzer stayed under pressure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Bull case: at a forward P/E of 10.8 and a $380M market cap, the market already prices a trough. Q2 FY2026 adjusted EPS of $1.34 beat the $1.30 estimate on $394.4M revenue, and guidance of $1.475-1.530B revenue with adjusted EPS $2.10-2.70 reflects improving Tommy Bahama [1]. A 66-year dividend record and D/E of 93% offer balance sheet resilience.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Bear case: full-year sales and profit guidance was cut in Q2 as Lilly Pulitzer remained under pressure [1], trailing profit margin is -0.5% and ROE -1.2%, and revenue is forecast to grow only 1.7% annually. Shares trade at $25 versus a $33 50-day average, signaling eroding confidence, and discretionary apparel is cyclical with ultra-fast-fashion pressure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Tommy Bahama recovery delivering the margin improvement embedded in FY2026 adjusted EPS guide of $2.10-2.70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Lilly Pulitzer stabilization after the Q2 guidance cut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Valuation re-rating from 10.8x forward earnings if guidance is met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Lilly Pulitzer demand weakness driving further guidance cuts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Tariff and supply chain cost pressure on a sourced-apparel model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Negative GAAP profitability (margin -0.5%) limiting dividend flexibility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6/9: physical stores, restaurants and brand equity protect the core, though fast-fashion digital competitors and AI-driven trend prediction compress product cycles [2]. Analysts have not flagged AI as a displacement threat to the brands. AI Opportunity 0/1: no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Oxford Industries Form 8-K Q2 FY2026 earnings release and Yahoo Finance coverage,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Danelfin / Umbrex OXM AI and strategy profiles,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Oxford Industries mission and brand disclosures, oxfordinc.com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Oxford Industries Form 10-K and Sustainalytics ESG Risk Rating (20.1, medium), accessed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Oxford Industries careers page and Glassdoor,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