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OXSQ</w:t>
      </w:r>
      <w:r>
        <w:rPr>
          <w:rFonts w:ascii="Calibri" w:hAnsi="Calibri"/>
          <w:b/>
          <w:color w:val="1A2010"/>
          <w:sz w:val="40"/>
        </w:rPr>
        <w:t xml:space="preserve">  Oxford Square Capital Corp.</w:t>
      </w:r>
    </w:p>
    <w:p>
      <w:pPr>
        <w:spacing w:after="120"/>
      </w:pPr>
      <w:r>
        <w:rPr>
          <w:rFonts w:ascii="Calibri" w:hAnsi="Calibri"/>
          <w:b/>
          <w:color w:val="6E8450"/>
          <w:sz w:val="18"/>
        </w:rPr>
        <w:t>DIVIDEND SLEEVE · 2026-09-24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Oxford Square Capital Corp. is an externally managed business development company (BDC) that invests primarily in corporate debt securities and collateralized loan obligation (CLO) structured finance investments. Founded in 2003 as TICC Capital Corp. and rebranded in 2018, the company is headquartered in Greenwich, Connecticut and managed by Oxford Square Management, LLC under CEO Jonathan H. Cohen. The company targets technology-related companies with annual revenues under $200M, investing $5M-$30M per transaction. As of Q2 2026, NAV per share stood at $1.29 with a market cap of approximately $137M.</w:t>
      </w:r>
    </w:p>
    <w:p>
      <w:r>
        <w:rPr>
          <w:rFonts w:ascii="Calibri" w:hAnsi="Calibri"/>
          <w:b/>
          <w:color w:val="6E8450"/>
          <w:sz w:val="18"/>
        </w:rPr>
        <w:t>https://www.oxfordsquarecapital.com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Oxford Square has not executed any meaningful product launches, market pivots, or business model transformations in the last five years — the company continues operating the same BDC model investing in CLO equity tranches and corporate debt since its 2003 founding, with no strategic evolution beyond a 2018 name change from TICC Capital [2]. AI Deployment (0/2): No AI-powered products, services, or quantifiable AI-driven operational improvements have been reported. Market Share (0/2): Oxford Square is a sub-scale BDC with a market cap of approximately $137M, making it a commodity participant in the $310B+ BDC industry with no differentiated market position [2]. Product Pipeline (0/2): No next-generation investment products, strategies, or platforms have been announced with specific timelines. R&amp;D Intensity (0/1): BDCs do not conduct R&amp;D; the company has no technology development expenditure.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Oxford Square's stated purpose is to seek an attractive risk-adjusted total return through investment in corporate debt and CLO securities — a purely financial objective interchangeable with any peer BDC [2]. There is no articulated vision of a better future or service-oriented purpose beyond generating returns for shareholders. Community Impact (0/2): No evidence of charitable programs, foundation activities, or community investment initiatives was found. The company is externally managed with no disclosed employee base, limiting community engagement pathways. Employee Retention (0/2): As an externally managed BDC, Oxford Square has no direct employees — all operations are conducted through Oxford Square Management, LLC, and no retention data is available [2]. Insider Buying (0/2): No evidence of meaningful net insider buying by CEO Jonathan Cohen or other officers was identified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Oxford Square's D/E of 112.6% scores 0.81, above the 70% target but within the interpolation range [4]. ROE of -25.0% and profit margin of -93.7% both score zero, reflecting net realized and unrealized investment losses that exceeded investment income over the trailing period [1]. Forward P/E of 5.77 scores 1.0, reflecting the deeply depressed share price relative to forward earnings estimates. Revenue growth YoY of -1.3% scores 0.62. The only strong contributor is 22 consecutive years of dividend payments (2x weighted, scores 1.0), but this is entirely offset by a payout ratio of 467% — the $0.42 annual distribution far exceeds NII of approximately $0.20/share — zero consecutive years of dividend growth due to repeated cuts, and a negative 5-year dividend growth CAGR of -7.2% [3]. The stock clears the liquidity floor with approximately $1.99M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Oxford Square Capital is a textbook finite game player — an externally managed BDC that exists primarily to generate management fees for its external manager and distribute income to yield-seeking shareholders. The company has maintained an unsustainable dividend payout (467% of NII) that systematically erodes NAV from $1.32 to $1.29 in a single quarter, prioritizing current income over long-term value preservation [1][3]. There is no articulated Just Cause, no evidence of courageous leadership decisions, and no strategic adaptation over two decades of operations.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Oxford Square exists to generate returns for shareholders and management fees for its external manager. There is no vision of a better future, no articulated purpose beyond financial returns, and no evidence that the company's existence serves any broader societal goal [2]. This is a purely financial vehicle operating in a finite game framework — the question is always 'how much can we distribute this quarter?' not 'what future are we building?'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external management structure under CEO Jonathan Cohen has been stable since 2003, providing leadership continuity over 23 years [2]. The management team is small and appears functional with no evidence of disruptive turnover. However, the external management model inherently creates a principal-agent conflict — management fees are earned regardless of shareholder returns, which is the opposite of the aligned incentive structure that Sinek identifies as the foundation of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Oxford Square does not reference competitors' strengths, frame competitive dynamics as motivation for self-improvement, or demonstrate awareness of how peer BDCs' capabilities reveal its own weaknesses [2]. The company operates in isolation with no competitive discourse in earnings calls or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Oxford Square has not materially evolved its business model since founding in 2003. The company continues to invest in the same asset classes (CLO equity, corporate debt) targeting the same company profiles (sub-$200M revenue technology-adjacent firms) using the same external management structure [2]. The 2018 name change from TICC Capital was cosmetic, not strategic. No evidence of willingness to abandon the current model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Management has consistently chosen to maintain an unsustainable dividend distribution ($0.035/month, $0.42 annually) that exceeds NII of approximately $0.20/share, systematically destroying NAV quarter after quarter [1][3]. This prioritizes short-term income appeal over long-term value preservation — the opposite of courageous leadership. A courageous decision would be cutting the dividend to sustainable levels and preserving NAV, but management has avoided this for years despite repeated analyst warnings.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Oxford Square Capital trades at $1.27 per share with a forward P/E of 5.77 and a headline dividend yield of 33.1%, which superficially appears attractive for income-seeking investors. Q2 2026 showed sequential improvement with NII increasing 24.4% to $5.1M ($0.05/share) as total investment income rose to $9.4M from $8.9M in Q1 [1]. The deeply discounted valuation (trading at 98.5% of book value of $1.29) and low beta of 0.37 could provide portfolio ballast in volatile markets, while elevated interest rates support CLO equity distributions.</w:t>
      </w:r>
    </w:p>
    <w:p>
      <w:pPr>
        <w:spacing w:after="120"/>
      </w:pPr>
      <w:r>
        <w:rPr>
          <w:rFonts w:ascii="Calibri" w:hAnsi="Calibri"/>
          <w:b w:val="0"/>
          <w:color w:val="3A4A28"/>
          <w:sz w:val="20"/>
        </w:rPr>
        <w:t>The bear case is overwhelming. The 33.1% yield is a value trap — the $0.42 annual distribution exceeds NII of approximately $0.20/share, producing a payout ratio of 467% that mechanically erodes NAV every quarter ($1.32 to $1.29 in Q2 2026 alone) [1][3]. Since 2014, the annual dividend has been cut from $1.16 to $0.42 — a 64% reduction — while the stock price has fallen from ~$8 to $1.27, destroying 84% of shareholder value. The external management structure creates a permanent principal-agent conflict where management fees are earned regardless of returns. ROE of -25.0% and profit margin of -93.7% reflect structural value destruction [4]. With a market cap of just $137M, the company lacks scale to compete with larger BDCs that benefit from lower cost of capital and superior origination platforms. Without a dividend cut and strategic repositioning, continued NAV erosion appears inevitable.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improvement in net investment income (+24.4% QoQ in Q2 2026 to $5.1M) could continue if interest rates remain elevated, potentially narrowing the gap between NII and dividend distributions and slowing NAV erosion [1]</w:t>
      </w:r>
    </w:p>
    <w:p>
      <w:pPr>
        <w:spacing w:before="40" w:after="40"/>
        <w:ind w:left="283"/>
      </w:pPr>
      <w:r>
        <w:rPr>
          <w:rFonts w:ascii="Calibri" w:hAnsi="Calibri"/>
          <w:b/>
          <w:color w:val="4A6B25"/>
          <w:sz w:val="20"/>
        </w:rPr>
        <w:t xml:space="preserve">2. </w:t>
      </w:r>
      <w:r>
        <w:rPr>
          <w:rFonts w:ascii="Calibri" w:hAnsi="Calibri"/>
          <w:b w:val="0"/>
          <w:color w:val="3A4A28"/>
          <w:sz w:val="20"/>
        </w:rPr>
        <w:t>Trading near book value ($1.27 vs NAV $1.29) limits further downside from discount compression, and any CLO equity valuation recovery would directly improve NAV per share [1]</w:t>
      </w:r>
    </w:p>
    <w:p>
      <w:pPr>
        <w:spacing w:before="40" w:after="40"/>
        <w:ind w:left="283"/>
      </w:pPr>
      <w:r>
        <w:rPr>
          <w:rFonts w:ascii="Calibri" w:hAnsi="Calibri"/>
          <w:b/>
          <w:color w:val="4A6B25"/>
          <w:sz w:val="20"/>
        </w:rPr>
        <w:t xml:space="preserve">3. </w:t>
      </w:r>
      <w:r>
        <w:rPr>
          <w:rFonts w:ascii="Calibri" w:hAnsi="Calibri"/>
          <w:b w:val="0"/>
          <w:color w:val="3A4A28"/>
          <w:sz w:val="20"/>
        </w:rPr>
        <w:t>A rational dividend cut to sustainable levels ($0.20-0.25/year) would halt NAV erosion and could attract fundamental investors focused on total return rather than unsustainable yield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467% payout ratio guarantees continued NAV erosion absent a dividend cut — at current pace, NAV declines approximately $0.03 per quarter, representing a ~9% annual NAV destruction rate that exceeds any potential capital appreciation [1][3]</w:t>
      </w:r>
    </w:p>
    <w:p>
      <w:pPr>
        <w:spacing w:before="40" w:after="40"/>
        <w:ind w:left="283"/>
      </w:pPr>
      <w:r>
        <w:rPr>
          <w:rFonts w:ascii="Calibri" w:hAnsi="Calibri"/>
          <w:b/>
          <w:color w:val="4A6B25"/>
          <w:sz w:val="20"/>
        </w:rPr>
        <w:t xml:space="preserve">2. </w:t>
      </w:r>
      <w:r>
        <w:rPr>
          <w:rFonts w:ascii="Calibri" w:hAnsi="Calibri"/>
          <w:b w:val="0"/>
          <w:color w:val="3A4A28"/>
          <w:sz w:val="20"/>
        </w:rPr>
        <w:t>CLO equity concentration creates mark-to-market volatility and first-loss credit risk if corporate default rates rise above historical averages in an economic downturn, potentially accelerating NAV decline beyond current trajectory [2]</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with no disclosed fee waiver or alignment mechanism means management earns fees regardless of shareholder outcomes, creating zero incentive to cut the dividend or improve capital allocation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Oxford Square's core business of providing debt capital to middle-market companies and investing in CLO structured products involves physical capital allocation that AI cannot directly replace — companies will continue to need debt financing regardless of AI advancement [2]. Regulatory requirements (SEC, 1940 Investment Company Act) and relationship-based lending create switching costs. However, AI tools are increasingly capable of credit analysis, portfolio optimization, and risk assessment that could erode the value proposition of small externally managed BDCs by enabling larger platforms to scale more efficiently and compress fees across asset management. AI Opportunity (0/1): Oxford Square does not generate revenue from AI-related products or services. While some portfolio companies operate in technology sectors, the BDC itself has no AI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Oxford Square Capital Q2 2026 Earnings Release — NII $5.1M ($0.05/share), Total Investment Income $9.4M, NAV per share $1.29, Monthly Distribution $0.035, July 2026</w:t>
      </w:r>
    </w:p>
    <w:p>
      <w:pPr>
        <w:spacing w:before="20" w:after="20"/>
        <w:ind w:left="170"/>
      </w:pPr>
      <w:r>
        <w:rPr>
          <w:rFonts w:ascii="Calibri" w:hAnsi="Calibri"/>
          <w:b/>
          <w:color w:val="4A6B25"/>
          <w:sz w:val="15"/>
        </w:rPr>
        <w:t xml:space="preserve">2. </w:t>
      </w:r>
      <w:r>
        <w:rPr>
          <w:rFonts w:ascii="Calibri" w:hAnsi="Calibri"/>
          <w:b w:val="0"/>
          <w:color w:val="3A4A28"/>
          <w:sz w:val="17"/>
        </w:rPr>
        <w:t>Oxford Square Capital Corp. — Company Overview, Investment Strategy, CLO/Debt Securities Focus, SEC Filings,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StockAnalysis — OXSQ Dividend Sustainability Analysis: 467% Payout Ratio, NAV Erosion Trend, Dividend History $1.16 to $0.42 Since 2014,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OXSQ Key Statistics: Forward P/E 5.77, D/E 112.6%, ROE -25.0%, Profit Margin -93.7%, Stock Price $1.27,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