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PAA</w:t>
      </w:r>
      <w:r>
        <w:rPr>
          <w:rFonts w:ascii="Calibri" w:hAnsi="Calibri"/>
          <w:b/>
          <w:color w:val="1A2010"/>
          <w:sz w:val="40"/>
        </w:rPr>
        <w:t xml:space="preserve">  Plains All American Pipeline, L.P.</w:t>
      </w:r>
    </w:p>
    <w:p>
      <w:pPr>
        <w:spacing w:after="120"/>
      </w:pPr>
      <w:r>
        <w:rPr>
          <w:rFonts w:ascii="Calibri" w:hAnsi="Calibri"/>
          <w:b/>
          <w:color w:val="6E8450"/>
          <w:sz w:val="18"/>
        </w:rPr>
        <w:t>DIVIDEND SLEEVE · 2026-09-01 · Inspire: 21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NASDAQ · United States</w:t>
      </w:r>
    </w:p>
    <w:p>
      <w:pPr>
        <w:spacing w:after="80"/>
      </w:pPr>
      <w:r>
        <w:rPr>
          <w:rFonts w:ascii="Calibri" w:hAnsi="Calibri"/>
          <w:b w:val="0"/>
          <w:color w:val="3A4A28"/>
          <w:sz w:val="20"/>
        </w:rPr>
        <w:t>Plains All American Pipeline, L.P. owns and operates midstream energy infrastructure providing logistics services for crude oil in the United States. Following the completion of its Canadian NGL business divestiture to Keyera in May 2026, PAA has transformed into a pure-play crude oil transportation company [1]. Q2 2026 revenue surged 66% to $17.69B driven by higher Permian Basin crude volumes and elevated commodity prices, with net income of $1.83B and EPS of $2.51 [1]. The company raised full-year 2026 adjusted EBITDA guidance by $130M to a $2.88B midpoint, with the Cactus Pipeline Expansion adding 75,000 bpd capacity [1]. Headquartered in Houston, Texas.</w:t>
      </w:r>
    </w:p>
    <w:p>
      <w:r>
        <w:rPr>
          <w:rFonts w:ascii="Calibri" w:hAnsi="Calibri"/>
          <w:b/>
          <w:color w:val="6E8450"/>
          <w:sz w:val="18"/>
        </w:rPr>
        <w:t>4,100 Employees · https://www.plainsallamerican.com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Plains All American is a midstream pipeline operator with no significant product launches, market pivots, or business model transformations in the last 5 years. The completed Canadian NGL divestiture to Keyera in May 2026 represents portfolio optimization into a pure-play crude oil company, not innovation [1]. The Cactus Pipeline Expansion adding 75,000 bpd is routine capacity addition. AI Deployment (1/2): PAA previously deployed an AI-driven chatbot named 'Piper' within Microsoft Teams that resolved over 3,000 tickets in eight weeks, saving 2,500+ hours of productivity — a quantifiable internal efficiency gain [2]. However, this is an internal IT tool, not a customer-facing AI product. Market Share (1/2): PAA is one of the largest crude oil transportation companies in North America with significant Permian Basin pipeline infrastructure, including the Cactus system now at 725,000 bpd capacity [1]. However, it operates in a competitive midstream sector alongside Enterprise Products Partners and Energy Transfer. Product Pipeline (0/2): No next-generation products or services announced. The Cactus Pipeline Expansion and Permian joint venture are standard capacity maintenance rather than innovation. R&amp;D Intensity (0/1): Pipeline operators spend negligibly on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Plains All American's purpose is generic energy infrastructure operation focused on transporting hydrocarbons safely and generating distributions for unitholders. No distinctive vision of a better future beyond operational excellence and reliable crude oil transportation [2]. Community Impact (0/2): PAA's environmental track record is a significant liability — the 2015 Refugio Beach pipeline rupture spilled 2,934 barrels of crude oil onto Santa Barbara coastline, leading to criminal felony convictions after PHMSA found 'preventable errors' and the pipeline had 82% wall thickness loss versus the 45% reported in inspection [3]. Since 2006, PAA accumulated 175 safety and maintenance violations resulting in 16,000+ barrels spilled and $23M in property damage [3]. Employee Retention (0/2): With 4,100 employees, no retention or tenure data is publicly available. Insider Buying (0/2): No meaningful insider buying data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60% is well below the 70% target (score 1.0) [4]. ROE of 10.18% is below the 15% target but above floor (score 0.68). Revenue growth YoY is strongly positive, driven by the Q2 2026 66% surge from elevated crude volumes and commodity prices (score 1.0), though pass-through commodity revenue inflates this metric [1]. Forward P/E of 13.94 is attractive versus the 20x target (score 1.0). Profit margin of 1.5% is structurally low due to the pass-through commodity revenue model (score 0.08) [4]. Distribution metrics are strong: payout ratio improved to approximately 60% on higher earnings (score 0.67), 25+ consecutive years paid since 1998 IPO (score 1.0, 2x weight), 4 consecutive years of distribution growth post-2020 cut (score 0.40), and 5-year distribution growth CAGR of ~18% from the 2020 trough recovery (score 1.0, 2x weight) [4]. Revenue growth 5yr CAGR of ~17% driven by commodity price recovery (score 1.0). Liquidity cleared: ~2.1M avg volume x $25.65 = $53.9M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Plains All American is a textbook finite game player in Sinek's framework. The partnership exists to generate distributions for unitholders — a purely financial purpose with no articulated vision of a better future. Strategic decisions are driven by capital allocation optimization (completing the Canadian NGL divestiture, managing leverage ratios, raising EBITDA guidance) rather than a Just Cause [1]. The 2015 Refugio Beach spill and subsequent criminal convictions reveal an organization that historically underinvested in maintenance, prioritizing near-term cash flow over long-term stewardship [3].</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PAA's purpose is transporting crude oil and maximizing unitholder distributions. There is no articulated vision of a future state that doesn't yet exist. The MLP partnership structure itself signals a finite mindset — designed to distribute maximum cash to investors rather than reinvest for long-term capability building [1]. Strategic decisions (completing NGL divestiture, managing leverage) optimize for financial returns, not a larger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PAA maintains a lean organization of 4,100 employees with leadership stability under CEO Willie Chiang (appointed 2018), who assumed the additional role of President upon Harry Pefanis's retirement in June 2025 [2]. The company emphasizes succession planning and internal talent development. No major cultural red flags or organizational instability identified, but no evidence of exceptional trust or empowerment either.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midstream sector competes primarily on tariff rates, geographic proximity to production basins, and contract terms — essentially a finite, transactional competitive environment. PAA's competitive language focuses on asset positioning and Permian Basin throughput growth rather than learning from Enterprise Products Partners or Energy Transfer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completed Canadian NGL business divestiture to Keyera in May 2026 transformed PAA into a pure-play crude oil transportation company — a significant strategic portfolio restructuring exiting a major segment [1]. This simplification improves capital allocation focus and deleverages the balance sheet toward the 3.25-3.75x target. However, the pivot was driven by financial optimization rather than a Just Cause, and the core pipeline business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PAA's leadership decisions are primarily financially driven — distributing cash, optimizing the portfolio, managing leverage ratios [1]. The 2015 Refugio Beach spill (82% corroded pipeline walls leading to 2,934-barrel spill, criminal felony conviction, 175 safety violations since 2006) demonstrates that leadership failed to invest in maintenance when the cost was real and immediate — the opposite of Sinek's courage [3]. The Canadian NGL sale and distribution rebuilding are pragmatic optimization, not courageous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Plains All American delivered exceptional Q2 2026 results with revenue surging 66% to $17.69B and net income of $1.83B ($2.51 EPS), driven by elevated Permian Basin crude volumes and higher commodity prices [1]. The company raised full-year 2026 adjusted EBITDA guidance by $130M to a $2.88B midpoint and completed the Canadian NGL divestiture in May 2026, simplifying into a pure-play crude oil company with improved leverage targeting 3.25-3.75x [1]. At a 6.7% distribution yield with approximately 1.46x coverage and 13.94x forward P/E, PAA offers attractive income with distribution growth potential as Permian Basin production grows 100-200K bpd in 2026. The Cactus Pipeline Expansion adding 75,000 bpd to 725,000 bpd total capacity positions PAA to capture incremental crude volumes.</w:t>
      </w:r>
    </w:p>
    <w:p>
      <w:pPr>
        <w:spacing w:after="120"/>
      </w:pPr>
      <w:r>
        <w:rPr>
          <w:rFonts w:ascii="Calibri" w:hAnsi="Calibri"/>
          <w:b w:val="0"/>
          <w:color w:val="3A4A28"/>
          <w:sz w:val="20"/>
        </w:rPr>
        <w:t>PAA's fundamental challenges are structural. Profit margin of 1.5% reflects the pass-through commodity revenue model that inflates revenue without proportional earnings, making top-line metrics misleading [4]. The 2015 Refugio Beach spill ($72.5M state settlement, criminal felony conviction, 175 safety violations since 2006 with 16,000+ barrels spilled) demonstrates material environmental liability that could recur given the pipeline network's exposure to corrosion [3]. Revenue growth of 66% in Q2 was driven by commodity prices rather than fundamental volume growth, exposing residual commodity sensitivity despite PAA's shift toward fee-based contracts. The distribution was cut in 2020 and the 18% 5-year CAGR is recovery from trough, not organic growth. With EV adoption and decarbonization policy eroding long-term crude demand, PAA faces secular headwinds to the terminal value of its pipeline assets. The Inspire Impact Score of 21 (MIXED) and Sustainalytics 'Severe' ESG rating reflect ongoing environmental risk exposure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Canadian NGL divestiture completed May 2026 — proceeds deleveraging balance sheet toward 3.25-3.75x target, simplifying PAA into a pure-play crude oil company with higher returns on capital and strategic focus [1]</w:t>
      </w:r>
    </w:p>
    <w:p>
      <w:pPr>
        <w:spacing w:before="40" w:after="40"/>
        <w:ind w:left="283"/>
      </w:pPr>
      <w:r>
        <w:rPr>
          <w:rFonts w:ascii="Calibri" w:hAnsi="Calibri"/>
          <w:b/>
          <w:color w:val="4A6B25"/>
          <w:sz w:val="20"/>
        </w:rPr>
        <w:t xml:space="preserve">2. </w:t>
      </w:r>
      <w:r>
        <w:rPr>
          <w:rFonts w:ascii="Calibri" w:hAnsi="Calibri"/>
          <w:b w:val="0"/>
          <w:color w:val="3A4A28"/>
          <w:sz w:val="20"/>
        </w:rPr>
        <w:t>Permian Basin crude production growth of 100-200K bpd in 2026 (revised up from flat forecast) driving incremental pipeline throughput, with Cactus Pipeline Expansion adding 75,000 bpd capacity to 725,000 bpd total [1]</w:t>
      </w:r>
    </w:p>
    <w:p>
      <w:pPr>
        <w:spacing w:before="40" w:after="40"/>
        <w:ind w:left="283"/>
      </w:pPr>
      <w:r>
        <w:rPr>
          <w:rFonts w:ascii="Calibri" w:hAnsi="Calibri"/>
          <w:b/>
          <w:color w:val="4A6B25"/>
          <w:sz w:val="20"/>
        </w:rPr>
        <w:t xml:space="preserve">3. </w:t>
      </w:r>
      <w:r>
        <w:rPr>
          <w:rFonts w:ascii="Calibri" w:hAnsi="Calibri"/>
          <w:b w:val="0"/>
          <w:color w:val="3A4A28"/>
          <w:sz w:val="20"/>
        </w:rPr>
        <w:t>Raised 2026 EBITDA guidance to $2.88B midpoint ($130M increase) supports potential distribution increases beyond the current $1.67/unit annualized rate with ~1.46x coverage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Environmental liability from pipeline infrastructure — the 2015 Refugio Beach criminal conviction, 175 safety violations since 2006, and Sustainalytics 'Severe' ESG rating create material tail risk for future incidents and reputational damage [3]</w:t>
      </w:r>
    </w:p>
    <w:p>
      <w:pPr>
        <w:spacing w:before="40" w:after="40"/>
        <w:ind w:left="283"/>
      </w:pPr>
      <w:r>
        <w:rPr>
          <w:rFonts w:ascii="Calibri" w:hAnsi="Calibri"/>
          <w:b/>
          <w:color w:val="4A6B25"/>
          <w:sz w:val="20"/>
        </w:rPr>
        <w:t xml:space="preserve">2. </w:t>
      </w:r>
      <w:r>
        <w:rPr>
          <w:rFonts w:ascii="Calibri" w:hAnsi="Calibri"/>
          <w:b w:val="0"/>
          <w:color w:val="3A4A28"/>
          <w:sz w:val="20"/>
        </w:rPr>
        <w:t>Commodity price sensitivity — Q2 2026 revenue surged 66% driven by elevated crude prices, demonstrating that PAA's financial performance remains exposed to commodity cycles despite shift toward fee-based contracts [1]</w:t>
      </w:r>
    </w:p>
    <w:p>
      <w:pPr>
        <w:spacing w:before="40" w:after="40"/>
        <w:ind w:left="283"/>
      </w:pPr>
      <w:r>
        <w:rPr>
          <w:rFonts w:ascii="Calibri" w:hAnsi="Calibri"/>
          <w:b/>
          <w:color w:val="4A6B25"/>
          <w:sz w:val="20"/>
        </w:rPr>
        <w:t xml:space="preserve">3. </w:t>
      </w:r>
      <w:r>
        <w:rPr>
          <w:rFonts w:ascii="Calibri" w:hAnsi="Calibri"/>
          <w:b w:val="0"/>
          <w:color w:val="3A4A28"/>
          <w:sz w:val="20"/>
        </w:rPr>
        <w:t>Secular crude oil demand decline from EV adoption and decarbonization policy threatens the long-term terminal value of crude oil transportation infrastructure, with limited optionality to repurpose pipeline assets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Plains All American's core business — owning and operating crude oil pipelines, storage capacity, and physical gathering systems — is structurally immune to AI disruption [1]. Transporting crude oil requires physical steel infrastructure, right-of-way access, regulatory permits, and manual operations that AI fundamentally cannot replace. The midstream sector faces zero substitution risk from AI. AI-driven data center proliferation increases energy demand, supporting crude oil transportation volumes — Permian Basin production is now expected to grow 100-200K bpd in 2026 versus earlier flat forecasts [1]. No analysts flag AI as a risk factor for midstream operators. AI Opportunity (0/1): The internal Piper chatbot generates IT savings but produces no customer-facing AI revenue. PAA has no AI products or services contributing to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Plains All American Q2 2026 Earnings Release — Revenue $17.69B (+66% YoY), Net Income $1.83B, EPS $2.51, Raised EBITDA Guidance to $2.88B Midpoint, Canadian NGL Divestiture Completed May 2026, Permian Growth 100-200K bpd, TradingView and Investing.com, July-August 2026</w:t>
      </w:r>
    </w:p>
    <w:p>
      <w:pPr>
        <w:spacing w:before="20" w:after="20"/>
        <w:ind w:left="170"/>
      </w:pPr>
      <w:r>
        <w:rPr>
          <w:rFonts w:ascii="Calibri" w:hAnsi="Calibri"/>
          <w:b/>
          <w:color w:val="4A6B25"/>
          <w:sz w:val="15"/>
        </w:rPr>
        <w:t xml:space="preserve">2. </w:t>
      </w:r>
      <w:r>
        <w:rPr>
          <w:rFonts w:ascii="Calibri" w:hAnsi="Calibri"/>
          <w:b w:val="0"/>
          <w:color w:val="3A4A28"/>
          <w:sz w:val="17"/>
        </w:rPr>
        <w:t>Plains All American Leadership and Technology — CEO Willie Chiang (since 2018), Piper AI Chatbot, 4,100 Employees, Succession Planning, Comparably and Simply Wall St, 2024-2026</w:t>
      </w:r>
    </w:p>
    <w:p>
      <w:pPr>
        <w:spacing w:before="20" w:after="20"/>
        <w:ind w:left="170"/>
      </w:pPr>
      <w:r>
        <w:rPr>
          <w:rFonts w:ascii="Calibri" w:hAnsi="Calibri"/>
          <w:b/>
          <w:color w:val="4A6B25"/>
          <w:sz w:val="15"/>
        </w:rPr>
        <w:t xml:space="preserve">3. </w:t>
      </w:r>
      <w:r>
        <w:rPr>
          <w:rFonts w:ascii="Calibri" w:hAnsi="Calibri"/>
          <w:b w:val="0"/>
          <w:color w:val="3A4A28"/>
          <w:sz w:val="17"/>
        </w:rPr>
        <w:t>Plains All American Environmental Record — 2015 Refugio Beach Spill (2,934 barrels, 82% wall loss, criminal felony conviction), 175 Safety Violations Since 2006, PHMSA Investigation, Senate Letters, EPA Settlement, US DOT, 2006-2026</w:t>
      </w:r>
    </w:p>
    <w:p>
      <w:pPr>
        <w:spacing w:before="20" w:after="20"/>
        <w:ind w:left="170"/>
      </w:pPr>
      <w:r>
        <w:rPr>
          <w:rFonts w:ascii="Calibri" w:hAnsi="Calibri"/>
          <w:b/>
          <w:color w:val="4A6B25"/>
          <w:sz w:val="15"/>
        </w:rPr>
        <w:t xml:space="preserve">4. </w:t>
      </w:r>
      <w:r>
        <w:rPr>
          <w:rFonts w:ascii="Calibri" w:hAnsi="Calibri"/>
          <w:b w:val="0"/>
          <w:color w:val="3A4A28"/>
          <w:sz w:val="17"/>
        </w:rPr>
        <w:t>StockAnalysis, CNBC, Yahoo Finance — PAA Key Statistics: Stock Price $25.65, P/E 6.90, Forward P/E 13.94, D/E 60%, ROE 10.18%, Distribution Yield 6.7%, Avg Volume 2.1M,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