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PACB</w:t>
      </w:r>
      <w:r>
        <w:rPr>
          <w:rFonts w:ascii="Calibri" w:hAnsi="Calibri"/>
          <w:b/>
          <w:color w:val="1A2010"/>
          <w:sz w:val="40"/>
        </w:rPr>
        <w:t xml:space="preserve">  Pacific Biosciences of California, Inc.</w:t>
      </w:r>
    </w:p>
    <w:p>
      <w:pPr>
        <w:spacing w:after="120"/>
      </w:pPr>
      <w:r>
        <w:rPr>
          <w:rFonts w:ascii="Calibri" w:hAnsi="Calibri"/>
          <w:b/>
          <w:color w:val="6E8450"/>
          <w:sz w:val="18"/>
        </w:rPr>
        <w:t>GROWTH SLEEVE · 2026-10-16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Life Sciences Tools &amp; Services · NASDAQ · United States</w:t>
      </w:r>
    </w:p>
    <w:p>
      <w:pPr>
        <w:spacing w:after="80"/>
      </w:pPr>
      <w:r>
        <w:rPr>
          <w:rFonts w:ascii="Calibri" w:hAnsi="Calibri"/>
          <w:b w:val="0"/>
          <w:color w:val="3A4A28"/>
          <w:sz w:val="20"/>
        </w:rPr>
        <w:t>Pacific Biosciences designs, develops, and manufactures long-read (HiFi) sequencing systems for the life sciences industry. Q2 2026 revenue of $39M was roughly flat YoY, with consumables growing 6% to $20.1M driven by 67% increase in clinical customer shipments, offset by weaker instrument sales during the SPRQ-Nx chemistry transition. Full-year 2026 guidance was lowered to $155-165M, and cash-flow breakeven was pushed to 2028. New CEO Mark Van Oene replaced Christian Henry, who moved to the board.</w:t>
      </w:r>
    </w:p>
    <w:p>
      <w:r>
        <w:rPr>
          <w:rFonts w:ascii="Calibri" w:hAnsi="Calibri"/>
          <w:b/>
          <w:color w:val="6E8450"/>
          <w:sz w:val="18"/>
        </w:rPr>
        <w:t>500 Employees · https://www.pacb.com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PacBio pioneered long-read HiFi sequencing and launched the Revio platform, but has not achieved a commercial breakthrough — the company generates only ~$160M in annual revenue despite two decades of operation, and the original 2022 target of $500M+ by 2026 was missed by approximately 70% [1]. Revenue guidance was further cut to $155-165M from $165-175M amid the SPRQ-Nx chemistry transition disruption. AI Deployment (0/2): New CEO Van Oene has announced plans for AI-related product solutions and clinically relevant databases, and AI expert Christopher Gibson was appointed to the board, but no AI-driven products are currently shipping to customers with measurable results [2]. Market Share (1/2): PacBio remains the acknowledged leader in long-read HiFi sequencing accuracy, a critical capability for structural variants and epigenetic analysis that short-read cannot resolve; however, Illumina is expanding long-read capabilities and Oxford Nanopore gains clinical adoption [1]. Product Pipeline (1/2): The SPRQ-Nx next-generation chemistry and SparkNext platform are in transition, but the shift is actively disrupting current instrument sales and contributed to the revenue guidance cut [1]. Consumables revenue of $20.1M (+6% YoY) with 67% clinical shipment growth is a positive leading indicator. R&amp;D Intensity (1/1): R&amp;D spending remains substantial relative to the $155-165M revenue base, consistent with a life sciences tools company pursuing next-generation platform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PacBio's mission to enable the promise of genomics for human health is genuine and socially valuable — long-read sequencing has unlocked previously inaccessible genome regions, advancing rare disease diagnosis and cancer research [2]. However, persistent annual operating losses exceeding $100M, a 95%+ stock decline from 2021 highs, and CEO departure undermine credibility that the mission translates into a sustainable enterprise. Community Impact (1/2): PacBio's technology enables precision medicine with real-world patient impact, including contributions to the Human Pangenome Reference Consortium and rare disease diagnostics [2]. The 67% growth in clinical customer shipments demonstrates expanding healthcare value. Employee Retention (0/2): The company executed workforce reductions (28% in 2024, 8% in 2026), CEO Christian Henry departed mid-2026, and Glassdoor reviews cite management issues and organizational instability [3]. Frequent restructuring signals a low-trust, unstable work environment. Insider Buying (0/2): No evidence of meaningful net insider buying by new CEO Van Oene or other executives; CEO Henry departed, and no insider purchase data was available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PacBio remains deeply unprofitable with -82.5% profit margin (score 0.0) and -929.3% ROE (score 0.0, 2x weight), reflecting chronic losses on a ~$160M revenue base [4]. Forward P/E is negative at -4.65 (score 0.0), confirming no near-term profitability path with cash-flow breakeven pushed to 2028. D/E was unavailable from yfinance and excluded. Revenue growth YoY of -1.9% (score 0.60) reflects the SPRQ-Nx chemistry transition disruption, and estimated 5-year revenue CAGR of ~4% (score 0.60, 2x weight) reflects modest but below-target growth from ~$130M in 2021 to ~$160M currently [1]. PEG is inapplicable for an unprofitable company and excluded. Daily dollar volume of ~$21.3M (10.85M shares x $1.96) clears the liquidity floor. The only positive scoring components are modest revenue growth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PacBio's infinite game posture has deteriorated with CEO Henry's departure, repeated guidance cuts, and workforce reductions. While the foundational mission to enable precision medicine through genomic sequencing remains genuine, the company is operating in survival mode — cutting guidance, managing a difficult chemistry transition, and navigating leadership instability with cash-flow breakeven pushed to 2028. The pattern of retreating from commitments ($500M target missed by 70%, successive guidance reductions) signals finite game behavior focused on surviving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PacBio's mission to unlock the genome's full potential for human health has inspired two decades of technology development, and 67% growth in clinical customer shipments validates real-world impact [1][2]. However, the mission's credibility is severely undermined by sustained $100M+ annual losses, 95%+ stock decline, CEO departure, and revenue targets missed by 70%. A Just Cause must be durable, and PacBio's financial fragility puts durability at existential risk — the company cannot advance its cause if it runs out of capital.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Henry's departure, combined with 28% workforce reduction in 2024 and additional 8% cuts in 2026, signals a low-trust, unstable environment [3]. Glassdoor reviews cite management issues and organizational instability. Remaining employees face uncertainty about job security and strategic direction under new leadership. The leadership transition during a critical platform and chemistry transition creates compounding organizational risk.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PacBio openly acknowledges the competitive strengths of Illumina (dominant market share, economies of scale, expanding long-read) and Oxford Nanopore (portability, real-time sequencing, direct RNA) [2]. Rather than dismissing competitors, PacBio has used their strengths to refine its own differentiation, emphasizing accuracy and completeness advantages of HiFi sequencing. The competitive dynamic has driven PacBio to improve throughput and reduce costs.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PacBio has demonstrated meaningful flexibility by pivoting toward clinical markets and shifting emphasis from instrument sales to consumable revenue, with clinical shipments growing 67% YoY [1]. New CEO Van Oene is pivoting toward AI-enabled products and clinically relevant databases, expanding beyond the traditional research-only customer base [2]. However, the SPRQ-Nx chemistry transition is disrupting current revenue, and pivots have been partly driven by competitive necessity rather than proactive strategic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Henry's departure, revenue guidance cuts (from $500M+ target to $155-165M actual), and cash-flow breakeven pushed to 2028 represent a pattern of retreating from commitments rather than courageous leadership [1]. While the original founding bet on long-read sequencing required vision, recent management decisions have been reactive — cutting headcount 28% in 2024 and 8% in 2026, lowering guidance repeatedly, and managing the balance sheet rather than making bold strategic bets. New CEO Van Oene has not yet had time to establish a courageous leadership pattern.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PacBio at $1.96 is the pioneer and leader in long-read HiFi sequencing, a critical capability for resolving structural variants, repetitive regions, and epigenetic modifications that short-read cannot address [2]. Q2 2026 consumable revenue of $20.1M (+6% YoY) with 67% growth in clinical customer shipments demonstrates increasing platform utilization and a meaningful shift toward higher-margin recurring revenue [1]. The stock has rallied ~63% from August lows, reflecting optimism around new CEO Van Oene's AI and clinical strategy and the potential of the SPRQ-Nx chemistry transition to drive a reacceleration. At a $609M market cap, PacBio is priced at ~3.8x revenue with significant optionality if the clinical genomics market scales as precision medicine adoption grows. Inspire ALIGNED score (39) and technology enabling rare disease diagnosis make it appealing for impact-oriented investors.</w:t>
      </w:r>
    </w:p>
    <w:p>
      <w:pPr>
        <w:spacing w:after="120"/>
      </w:pPr>
      <w:r>
        <w:rPr>
          <w:rFonts w:ascii="Calibri" w:hAnsi="Calibri"/>
          <w:b w:val="0"/>
          <w:color w:val="3A4A28"/>
          <w:sz w:val="20"/>
        </w:rPr>
        <w:t>The bear case remains acute. PacBio is deeply unprofitable with -82.5% profit margin and -929% ROE, burning cash with breakeven pushed to 2028 [4]. Revenue guidance was cut to $155-165M, and the original 2022 target of $500M+ by 2026 has been missed by approximately 70% [1]. The SPRQ-Nx chemistry transition is actively disrupting instrument sales, creating uncertainty about when revenue growth will reaccelerate. At $1.96 per share, NASDAQ minimum bid compliance remains a concern if the stock reverses. CEO transition from Henry to Van Oene introduces leadership risk during the most challenging period in the company's history. Illumina is expanding long-read capabilities that could commoditize PacBio's core differentiation, while Oxford Nanopore gains clinical traction. The balance sheet carries significant debt against limited cash reserves, and with no near-term profitability path, further dilutive capital raises are likely if the SPRQ-Nx transition underperforms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SPRQ-Nx chemistry transition completion and SparkNext platform launch could reaccelerate instrument sales and restore revenue growth trajectory if they deliver meaningful throughput and cost improvements [1]</w:t>
      </w:r>
    </w:p>
    <w:p>
      <w:pPr>
        <w:spacing w:before="40" w:after="40"/>
        <w:ind w:left="283"/>
      </w:pPr>
      <w:r>
        <w:rPr>
          <w:rFonts w:ascii="Calibri" w:hAnsi="Calibri"/>
          <w:b/>
          <w:color w:val="4A6B25"/>
          <w:sz w:val="20"/>
        </w:rPr>
        <w:t xml:space="preserve">2. </w:t>
      </w:r>
      <w:r>
        <w:rPr>
          <w:rFonts w:ascii="Calibri" w:hAnsi="Calibri"/>
          <w:b w:val="0"/>
          <w:color w:val="3A4A28"/>
          <w:sz w:val="20"/>
        </w:rPr>
        <w:t>Clinical genomics adoption expanding — 67% growth in clinical customer consumable shipments signals growing precision medicine demand that could accelerate as AI-driven clinical interpretation increases sequencing value [1][2]</w:t>
      </w:r>
    </w:p>
    <w:p>
      <w:pPr>
        <w:spacing w:before="40" w:after="40"/>
        <w:ind w:left="283"/>
      </w:pPr>
      <w:r>
        <w:rPr>
          <w:rFonts w:ascii="Calibri" w:hAnsi="Calibri"/>
          <w:b/>
          <w:color w:val="4A6B25"/>
          <w:sz w:val="20"/>
        </w:rPr>
        <w:t xml:space="preserve">3. </w:t>
      </w:r>
      <w:r>
        <w:rPr>
          <w:rFonts w:ascii="Calibri" w:hAnsi="Calibri"/>
          <w:b w:val="0"/>
          <w:color w:val="3A4A28"/>
          <w:sz w:val="20"/>
        </w:rPr>
        <w:t>New CEO Van Oene's AI and clinical strategy including board addition of AI expert Christopher Gibson could unlock new product categories and revenue streams beyond traditional research sequencing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 deep unprofitability with -82.5% profit margin and cash-flow breakeven pushed to 2028 creates meaningful dilution or solvency risk if the SPRQ-Nx transition fails to reaccelerate revenue [1][4]</w:t>
      </w:r>
    </w:p>
    <w:p>
      <w:pPr>
        <w:spacing w:before="40" w:after="40"/>
        <w:ind w:left="283"/>
      </w:pPr>
      <w:r>
        <w:rPr>
          <w:rFonts w:ascii="Calibri" w:hAnsi="Calibri"/>
          <w:b/>
          <w:color w:val="4A6B25"/>
          <w:sz w:val="20"/>
        </w:rPr>
        <w:t xml:space="preserve">2. </w:t>
      </w:r>
      <w:r>
        <w:rPr>
          <w:rFonts w:ascii="Calibri" w:hAnsi="Calibri"/>
          <w:b w:val="0"/>
          <w:color w:val="3A4A28"/>
          <w:sz w:val="20"/>
        </w:rPr>
        <w:t>CEO transition and organizational instability — leadership change during critical platform transition, combined with 28% (2024) and 8% (2026) workforce reductions, creates compounding execution risk [1][2]</w:t>
      </w:r>
    </w:p>
    <w:p>
      <w:pPr>
        <w:spacing w:before="40" w:after="40"/>
        <w:ind w:left="283"/>
      </w:pPr>
      <w:r>
        <w:rPr>
          <w:rFonts w:ascii="Calibri" w:hAnsi="Calibri"/>
          <w:b/>
          <w:color w:val="4A6B25"/>
          <w:sz w:val="20"/>
        </w:rPr>
        <w:t xml:space="preserve">3. </w:t>
      </w:r>
      <w:r>
        <w:rPr>
          <w:rFonts w:ascii="Calibri" w:hAnsi="Calibri"/>
          <w:b w:val="0"/>
          <w:color w:val="3A4A28"/>
          <w:sz w:val="20"/>
        </w:rPr>
        <w:t>Competitive convergence — Illumina expanding long-read capabilities and Oxford Nanopore gaining clinical adoption could erode PacBio's HiFi accuracy differentiation, potentially commoditizing the long-read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Genomic sequencing is fundamentally a hardware-and-chemistry business — generating high-fidelity DNA sequence data from biological samples requires sophisticated instruments, proprietary flow cells, and biochemical reagents that AI cannot replicate or displace [2]. PacBio's SMRT sequencing technology involves decades of deep expertise in single-molecule real-time detection. The regulated nature of clinical genomics adds barriers. However, PacBio faces indirect risk: AI-powered computational genomics could reduce demand for certain re-sequencing workflows, and larger competitors like Illumina have greater resources to integrate AI into sequencing platforms. AI Opportunity (1/1): AI and machine learning are natural complements to long-read sequencing — PacBio's HiFi reads are well-suited to AI-enhanced variant calling, structural variant detection, and clinical interpretation pipelines [2]. The 67% growth in clinical customer shipments suggests expanding adoption in precision medicine where AI-driven analysis increases the value of sequencing data. New CEO Van Oene has prioritized AI-related product solutions and added AI expert Christopher Gibson to the board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PacBio Q2 2026 Earnings — Revenue $39M (flat YoY), Consumables $20.1M (+6%), Guidance Cut to $155-165M, SPRQ-Nx Chemistry Transition, 8% Workforce Reduction — Barchart,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PacBio Leadership and AI Strategy — CEO Mark Van Oene Appointed, Christopher Gibson Board Addition, AI Product Roadmap, Clinical Market Pivot — PacBio Press Release, PharmaNow, 2026</w:t>
      </w:r>
    </w:p>
    <w:p>
      <w:pPr>
        <w:spacing w:before="20" w:after="20"/>
        <w:ind w:left="170"/>
      </w:pPr>
      <w:r>
        <w:rPr>
          <w:rFonts w:ascii="Calibri" w:hAnsi="Calibri"/>
          <w:b/>
          <w:color w:val="4A6B25"/>
          <w:sz w:val="15"/>
        </w:rPr>
        <w:t xml:space="preserve">3. </w:t>
      </w:r>
      <w:r>
        <w:rPr>
          <w:rFonts w:ascii="Calibri" w:hAnsi="Calibri"/>
          <w:b w:val="0"/>
          <w:color w:val="3A4A28"/>
          <w:sz w:val="17"/>
        </w:rPr>
        <w:t>PacBio Culture and Employee Sentiment — Workforce Reductions 28% (2024) and 8% (2026), CEO Transition, Glassdoor Reviews — Company Filings, Glassdoor, 2024-2026</w:t>
      </w:r>
    </w:p>
    <w:p>
      <w:pPr>
        <w:spacing w:before="20" w:after="20"/>
        <w:ind w:left="170"/>
      </w:pPr>
      <w:r>
        <w:rPr>
          <w:rFonts w:ascii="Calibri" w:hAnsi="Calibri"/>
          <w:b/>
          <w:color w:val="4A6B25"/>
          <w:sz w:val="15"/>
        </w:rPr>
        <w:t xml:space="preserve">4. </w:t>
      </w:r>
      <w:r>
        <w:rPr>
          <w:rFonts w:ascii="Calibri" w:hAnsi="Calibri"/>
          <w:b w:val="0"/>
          <w:color w:val="3A4A28"/>
          <w:sz w:val="17"/>
        </w:rPr>
        <w:t>PacBio Financial Data — Market Cap $609M, Price $1.96, Profit Margin -82.5%, ROE -929.3%, Avg Volume 10.85M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