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PACS</w:t>
      </w:r>
      <w:r>
        <w:rPr>
          <w:rFonts w:ascii="Calibri" w:hAnsi="Calibri"/>
          <w:b/>
          <w:color w:val="1A2010"/>
          <w:sz w:val="40"/>
        </w:rPr>
        <w:t xml:space="preserve">  PACS Group, Inc.</w:t>
      </w:r>
    </w:p>
    <w:p>
      <w:pPr>
        <w:spacing w:after="120"/>
      </w:pPr>
      <w:r>
        <w:rPr>
          <w:rFonts w:ascii="Calibri" w:hAnsi="Calibri"/>
          <w:b/>
          <w:color w:val="6E8450"/>
          <w:sz w:val="18"/>
        </w:rPr>
        <w:t>GROWTH SLEEVE · 2026-10-01 · Inspire: 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Care Facilities · NYSE · United States</w:t>
      </w:r>
    </w:p>
    <w:p>
      <w:pPr>
        <w:spacing w:after="80"/>
      </w:pPr>
      <w:r>
        <w:rPr>
          <w:rFonts w:ascii="Calibri" w:hAnsi="Calibri"/>
          <w:b w:val="0"/>
          <w:color w:val="3A4A28"/>
          <w:sz w:val="20"/>
        </w:rPr>
        <w:t>PACS Group, Inc. is one of the largest post-acute healthcare platforms in the United States, operating 344+ skilled nursing, assisted living, and post-acute care facilities across 17 states. The company employs a 'facility maturation playbook' that acquires underperforming skilled nursing facilities and implements operational improvements to increase quality metrics, occupancy, and skilled patient mix. Q2 2026 revenue grew 9.1% YoY to $1.43B with net income up 50% to $76.4M. Full-year 2026 guidance raised to $5.75-5.85B revenue and $640-660M adjusted EBITDA. IPO'd April 2024. Founded in 2013, headquartered in Salt Lake City, Utah.</w:t>
      </w:r>
    </w:p>
    <w:p>
      <w:r>
        <w:rPr>
          <w:rFonts w:ascii="Calibri" w:hAnsi="Calibri"/>
          <w:b/>
          <w:color w:val="6E8450"/>
          <w:sz w:val="18"/>
        </w:rPr>
        <w:t>47,455 Employees · https://pacs.com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PACS executed a distinctive facility maturation playbook, growing from approximately 200 to 344+ facilities in two years while achieving 90.4% occupancy (vs. 79.5% industry average) and 83.6% of skilled nursing facilities earning 4-5 star CMS Quality Measure ratings [1]. The Eduro Healthcare acquisition of 34 facilities (3,633 beds) demonstrates continued strategic execution. However, growth is entirely acquisition-driven rather than product or business model innovation. AI Deployment (0/2): PACS is investing $100M in technology deployment and has an internal AI committee evaluating tools for productivity and workforce management, but no AI products are shipping to customers and no quantified AI-driven savings have been reported [2]. Market Share (1/2): PACS is one of the largest SNF operators in the U.S. with 344+ facilities, 47,000+ employees, and rapidly gaining share through acquisitions, but faces established competitors (Ensign Group, Sabra Healthcare) in a fragmented market [1]. Product Pipeline (0/2): No novel products or services in development; growth strategy is purely acquisition-based. R&amp;D Intensity (0/1): As a healthcare services company, PACS has no meaningful R&amp;D spend.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PACS's purpose of providing quality post-acute care and developing industry leaders is clear and identifies what the company does and for whom — the 83.6% rate of 4-5 star CMS ratings demonstrates genuine quality improvement [1]. However, the mission is standard for healthcare services companies without distinctive articulation. Community Impact (0/2): While PACS operates 344+ facilities serving elderly and rehabilitative care patients, the Hindenburg Research report alleging systematic Medicare fraud and the ongoing DOJ investigation severely undermine community impact claims [3][4]. Employee Retention (0/2): Glassdoor reviews cite 'unethical business practices' and the federal investigation as cultural concerns [2]. Limited employee data for a company with ~47,000 employees. CEO Jason Murray has led since founding (2013), demonstrating leadership continuity. Insider Buying (0/2): No evidence of meaningful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Daily dollar volume of $34.2M (822,069 shares x $41.55) provides ample liquidity [5]. ROE of 27.9% significantly exceeds the 15% target (score 1.0, 2x weight). Forward P/E of 15.31 is below the 20 target (score 1.0). Revenue growth YoY of 9.1% nearly reaches the 10% target (score 0.97). Forward PEG of 1.06 is near the 1.0 target (score 0.97, 2x weight). Profit margin of 4.85% is low, reflecting labor-intensive skilled nursing operations (score 0.24). D/E of 305% exceeds the 300% floor — including operating lease obligations for 344+ facilities — scoring 0.0 [5]. Full-year 2026 adjusted EBITDA guidance raised to $640-660M (~29% growth over 2025) and net income grew 50% YoY in Q2 [1]. Balance sheet shows $164.5M cash and $756.6M available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PACS Group exhibits finite game characteristics despite strong operational execution. The Hindenburg Research allegations of systematic Medicare fraud and the ongoing DOJ investigation reveal an organization that allegedly optimized for short-term revenue extraction from government healthcare programs. While CEO Murray has publicly acknowledged this as a 'time of crisis' and pledged organizational transformation, the pattern of behavior described in the allegations is antithetical to infinite game thinking. The company's rapid acquisition-driven growth prioritizes scale over enduring institutional quality.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PACS provides post-acute care serving elderly and recovering patients, and the operational data — 90.4% occupancy, 83.6% 4-5 star quality ratings — shows genuine capability in improving facility performance [1]. However, the Hindenburg allegations that PACS 'systematically scammed taxpayer-funded healthcare programs' and that unnecessary billing 'drove more than 100% of operating and net income from 2020-2023' fundamentally undermine any claim that quality patient care is the organizational purpose [3]. The cause exists on paper but alleged behavior contradicts 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PACS employs 47,000+ workers across 344+ facilities with CEO Murray providing stable leadership since founding in 2013. Five management team members previously served as facility administrators, suggesting promotion from within [2]. However, Glassdoor reviews cite 'unethical business practices' and the federal investigation as cultural concerns, and the DOJ/SEC investigations create legal uncertainty across the organization incompatible with psychological safety [2][4].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PACS's competitive language emphasizes its own superior occupancy (90.4% vs. 79.5% industry average) and quality metrics in a way that frames competition as a comparison to be won [1]. No evidence of management acknowledging competitors' strengths (Ensign Group's culture, Sabra Healthcare's REIT model) as motivation for self-improvement. Acquisition-driven growth suggests market share conquest mindset.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PACS has been a skilled nursing operator since founding in 2013 with no strategic pivots. Growth has been entirely through same-model acquisitions — acquiring underperforming SNFs and applying the maturation playbook. The Eduro deal (34 facilities) continues this pattern [1]. The company has never faced a test of existential flexibility because it has never needed to change its fundamental approach.</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DOJ investigation into reimbursement and referral practices, including False Claims Act and Anti-Kickback Statute inquiries, represent a governance failure rather than courageous leadership [4]. CEO Murray's public acknowledgment of the crisis and characterization of PACS as a 'different organization' shows some accountability, but the alleged systematic billing practices occurred under current leadership [2]. The $100M technology investment and compliance transformation could represent genuine courage, but the timing — during active investigation — suggests reactive necessity rather than proactive principled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PACS Group is executing a distinctive facility maturation playbook at scale, delivering Q2 2026 revenue of $1.43B (up 9.1% YoY) and net income of $76.4M (up 50% YoY) across 344+ facilities with industry-leading occupancy of 90.4% and 83.6% of SNFs earning 4-5 star CMS quality ratings [1]. Full-year 2026 adjusted EBITDA guidance was raised to $640-660M (~29% growth over 2025), and Forward P/E of 15.3x with PEG of 1.06x reflects reasonable valuation for the growth profile [5]. The Eduro acquisition of 34 facilities extends the growth runway, and the 'Silver Tsunami' demographic trend drives secular demand for skilled nursing capacity [1]. ROE of 27.9% demonstrates efficient capital deployment through the maturation model.</w:t>
      </w:r>
    </w:p>
    <w:p>
      <w:pPr>
        <w:spacing w:after="120"/>
      </w:pPr>
      <w:r>
        <w:rPr>
          <w:rFonts w:ascii="Calibri" w:hAnsi="Calibri"/>
          <w:b w:val="0"/>
          <w:color w:val="3A4A28"/>
          <w:sz w:val="20"/>
        </w:rPr>
        <w:t>The bear case centers on unresolved legal and governance risk. The DOJ investigation into reimbursement and referral practices — including False Claims Act (PDPM billing), Anti-Kickback Statute (patient referrals), and COVID Hospital Stay Waiver abuse inquiries — remains active following Hindenburg Research's November 2024 report alleging PACS 'systematically scammed taxpayer-funded healthcare programs' [3][4]. Any adverse finding could result in substantial fines, Medicare exclusion, or mandated operational changes fundamentally altering the company's economics. D/E of 305% (including operating leases for 344+ facilities) represents meaningful leverage risk, and profit margins of 4.85% leave minimal cushion against regulatory changes, labor cost inflation, or Medicaid reimbursement rate adjustments. The stock has declined from $48.44 to $41.55 since August, reflecting continued investor uncertainty around the investigation overhang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Eduro Healthcare acquisition of 34 facilities (3,633 beds) provides immediate growth runway with PACS's proven facility maturation playbook targeting occupancy and skilled mix improvements [1]</w:t>
      </w:r>
    </w:p>
    <w:p>
      <w:pPr>
        <w:spacing w:before="40" w:after="40"/>
        <w:ind w:left="283"/>
      </w:pPr>
      <w:r>
        <w:rPr>
          <w:rFonts w:ascii="Calibri" w:hAnsi="Calibri"/>
          <w:b/>
          <w:color w:val="4A6B25"/>
          <w:sz w:val="20"/>
        </w:rPr>
        <w:t xml:space="preserve">2. </w:t>
      </w:r>
      <w:r>
        <w:rPr>
          <w:rFonts w:ascii="Calibri" w:hAnsi="Calibri"/>
          <w:b w:val="0"/>
          <w:color w:val="3A4A28"/>
          <w:sz w:val="20"/>
        </w:rPr>
        <w:t>Demographic 'Silver Tsunami' driving secular increase in demand for skilled nursing capacity as the 65+ population grows, supporting continued occupancy gains and reimbursement strength [1]</w:t>
      </w:r>
    </w:p>
    <w:p>
      <w:pPr>
        <w:spacing w:before="40" w:after="40"/>
        <w:ind w:left="283"/>
      </w:pPr>
      <w:r>
        <w:rPr>
          <w:rFonts w:ascii="Calibri" w:hAnsi="Calibri"/>
          <w:b/>
          <w:color w:val="4A6B25"/>
          <w:sz w:val="20"/>
        </w:rPr>
        <w:t xml:space="preserve">3. </w:t>
      </w:r>
      <w:r>
        <w:rPr>
          <w:rFonts w:ascii="Calibri" w:hAnsi="Calibri"/>
          <w:b w:val="0"/>
          <w:color w:val="3A4A28"/>
          <w:sz w:val="20"/>
        </w:rPr>
        <w:t>Resolution of DOJ investigation with manageable outcome would remove the primary valuation overhang — CEO Murray's public commitment to compliance transformation and $100M technology investment signal organizational change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Ongoing DOJ investigation into False Claims Act (PDPM billing), Anti-Kickback Statute (referrals), and COVID waiver abuse could result in substantial financial penalties, Medicare exclusion, or mandated operational changes that fundamentally alter the business model [3][4]</w:t>
      </w:r>
    </w:p>
    <w:p>
      <w:pPr>
        <w:spacing w:before="40" w:after="40"/>
        <w:ind w:left="283"/>
      </w:pPr>
      <w:r>
        <w:rPr>
          <w:rFonts w:ascii="Calibri" w:hAnsi="Calibri"/>
          <w:b/>
          <w:color w:val="4A6B25"/>
          <w:sz w:val="20"/>
        </w:rPr>
        <w:t xml:space="preserve">2. </w:t>
      </w:r>
      <w:r>
        <w:rPr>
          <w:rFonts w:ascii="Calibri" w:hAnsi="Calibri"/>
          <w:b w:val="0"/>
          <w:color w:val="3A4A28"/>
          <w:sz w:val="20"/>
        </w:rPr>
        <w:t>Total D/E of 305% (including operating lease obligations for 344+ facilities) and 4.85% profit margin leave minimal financial cushion against labor cost inflation, reimbursement rate cuts, or occupancy declines [5]</w:t>
      </w:r>
    </w:p>
    <w:p>
      <w:pPr>
        <w:spacing w:before="40" w:after="40"/>
        <w:ind w:left="283"/>
      </w:pPr>
      <w:r>
        <w:rPr>
          <w:rFonts w:ascii="Calibri" w:hAnsi="Calibri"/>
          <w:b/>
          <w:color w:val="4A6B25"/>
          <w:sz w:val="20"/>
        </w:rPr>
        <w:t xml:space="preserve">3. </w:t>
      </w:r>
      <w:r>
        <w:rPr>
          <w:rFonts w:ascii="Calibri" w:hAnsi="Calibri"/>
          <w:b w:val="0"/>
          <w:color w:val="3A4A28"/>
          <w:sz w:val="20"/>
        </w:rPr>
        <w:t>Hindenburg Research allegations that unnecessary billing drove 'more than 100% of operating and net income from 2020-2023' — if substantiated, historical financial performance was materially inflated and current run-rates may not be sustainable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PACS's core business of operating skilled nursing and post-acute care facilities involves physical, hands-on patient care that is structurally immune to AI displacement [1]. Nursing care, rehabilitation therapy, patient monitoring, and facility management require human physical presence and clinical judgment that AI cannot substitute. The healthcare services industry is heavily regulated by CMS quality standards, state licensing requirements, and Medicare/Medicaid compliance frameworks creating structural barriers. The aging U.S. population ('Silver Tsunami') creates secular demand independent of technology trends. AI Opportunity (0/1): No AI-derived revenue. PACS is investing $100M in technology including AI evaluation, but this targets internal productivity and workforce management rather than generating AI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8</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PACS Group Q2 2026 Earnings Release — BusinessWire/Seeking Alpha, August 2026</w:t>
      </w:r>
    </w:p>
    <w:p>
      <w:pPr>
        <w:spacing w:before="20" w:after="20"/>
        <w:ind w:left="170"/>
      </w:pPr>
      <w:r>
        <w:rPr>
          <w:rFonts w:ascii="Calibri" w:hAnsi="Calibri"/>
          <w:b/>
          <w:color w:val="4A6B25"/>
          <w:sz w:val="15"/>
        </w:rPr>
        <w:t xml:space="preserve">2. </w:t>
      </w:r>
      <w:r>
        <w:rPr>
          <w:rFonts w:ascii="Calibri" w:hAnsi="Calibri"/>
          <w:b w:val="0"/>
          <w:color w:val="3A4A28"/>
          <w:sz w:val="17"/>
        </w:rPr>
        <w:t>PACS Group CEO Interviews, Technology Investment, and Glassdoor Reviews — Skilled Nursing News, April 2026</w:t>
      </w:r>
    </w:p>
    <w:p>
      <w:pPr>
        <w:spacing w:before="20" w:after="20"/>
        <w:ind w:left="170"/>
      </w:pPr>
      <w:r>
        <w:rPr>
          <w:rFonts w:ascii="Calibri" w:hAnsi="Calibri"/>
          <w:b/>
          <w:color w:val="4A6B25"/>
          <w:sz w:val="15"/>
        </w:rPr>
        <w:t xml:space="preserve">3. </w:t>
      </w:r>
      <w:r>
        <w:rPr>
          <w:rFonts w:ascii="Calibri" w:hAnsi="Calibri"/>
          <w:b w:val="0"/>
          <w:color w:val="3A4A28"/>
          <w:sz w:val="17"/>
        </w:rPr>
        <w:t>Hindenburg Research — 'PACS Group: How To Become A Billionaire By Systematically Scamming Taxpayers', November 2024</w:t>
      </w:r>
    </w:p>
    <w:p>
      <w:pPr>
        <w:spacing w:before="20" w:after="20"/>
        <w:ind w:left="170"/>
      </w:pPr>
      <w:r>
        <w:rPr>
          <w:rFonts w:ascii="Calibri" w:hAnsi="Calibri"/>
          <w:b/>
          <w:color w:val="4A6B25"/>
          <w:sz w:val="15"/>
        </w:rPr>
        <w:t xml:space="preserve">4. </w:t>
      </w:r>
      <w:r>
        <w:rPr>
          <w:rFonts w:ascii="Calibri" w:hAnsi="Calibri"/>
          <w:b w:val="0"/>
          <w:color w:val="3A4A28"/>
          <w:sz w:val="17"/>
        </w:rPr>
        <w:t>PACS Group DOJ Investigation CID Disclosures — SEC 10-K/10-Q Filings,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StockAnalysis.com — PACS Key Statistics and Valuation,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