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PAGP</w:t>
      </w:r>
      <w:r>
        <w:rPr>
          <w:rFonts w:ascii="Calibri" w:hAnsi="Calibri"/>
          <w:b/>
          <w:color w:val="1A2010"/>
          <w:sz w:val="40"/>
        </w:rPr>
        <w:t xml:space="preserve">  Plains GP Holdings, L.P.</w:t>
      </w:r>
    </w:p>
    <w:p>
      <w:pPr>
        <w:spacing w:after="120"/>
      </w:pPr>
      <w:r>
        <w:rPr>
          <w:rFonts w:ascii="Calibri" w:hAnsi="Calibri"/>
          <w:b/>
          <w:color w:val="6E8450"/>
          <w:sz w:val="18"/>
        </w:rPr>
        <w:t>DIVIDEND SLEEVE · 2026-09-12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NASDAQ · United States</w:t>
      </w:r>
    </w:p>
    <w:p>
      <w:pPr>
        <w:spacing w:after="80"/>
      </w:pPr>
      <w:r>
        <w:rPr>
          <w:rFonts w:ascii="Calibri" w:hAnsi="Calibri"/>
          <w:b w:val="0"/>
          <w:color w:val="3A4A28"/>
          <w:sz w:val="20"/>
        </w:rPr>
        <w:t>Plains GP Holdings, L.P. is the publicly-traded parent holding company for Plains All American Pipeline, L.P. (PAA), one of the largest crude oil and natural gas liquids (NGL) midstream logistics operators in North America, with gathering, pipeline, storage, and terminalling assets concentrated in the Permian Basin. Led by Chairman &amp; CEO Willie Chiang since October 2018, the company operates through Crude Oil and NGL segments and is headquartered in Houston, Texas. Management raised FY2026 Adjusted EBITDA guidance to $2.88B, with growth capital of $400-450M deployed across Permian long-haul, Canadian gathering, and Permian gathering projects [1]. President Harry Pefanis retired effective June 2025, transitioning to Senior Advisor to the CEO through 2028 [2].</w:t>
      </w:r>
    </w:p>
    <w:p>
      <w:r>
        <w:rPr>
          <w:rFonts w:ascii="Calibri" w:hAnsi="Calibri"/>
          <w:b/>
          <w:color w:val="6E8450"/>
          <w:sz w:val="18"/>
        </w:rPr>
        <w:t>3,900 Employees · https://www.plains.com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PAA has been actively optimizing its portfolio rather than transforming its business model — divesting non-core Canadian NGL assets and reallocating capital toward crude segment optimization, which contributed to a raised FY2026 Adjusted EBITDA guidance of $2.88B [1]. The NGL exit streamlines the business toward higher-return crude oil assets. AI Deployment (0/2): No evidence of AI-driven products or quantified efficiency savings was identified; the company invests in emerging technologies including AI/ML/IoT for operations but no concrete deployments were cited [2]. Market Share (1/2): PAA operates one of the largest crude oil gathering, transportation, and storage networks in the Permian Basin with roughly 18,000 miles of pipeline — a meaningful player, not a category-defining leader. Product Pipeline (0/2): Growth capital of $400-450M is deployed across Permian long-haul, Canadian gathering, and Permian gathering projects, but these are infrastructure expansions rather than next-generation products with specific timelines [1]. R&amp;D Intensity (0/1): Not a meaningful spending category for a midstream pipeline operator.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Plains' 'Do the Right Thing' motto and stated values (Safety &amp; Environmental Stewardship, Ethics &amp; Integrity, Ownership &amp; Accountability, Teamwork) are generic industrial safety language that rings hollow against the company's environmental record [2]. Community Impact (0/2): The HSES Board Committee established in 2021 provides ESG oversight, and Plains leads its industry in ESG disclosure per Morningstar, but no dollar-quantified charitable programs were identified [5]. Employee Retention (1/2): CEO Chiang has led since 2018, average leadership tenure of 7.4 years, and Glassdoor rating of 3.8/5 based on 326 reviews indicates above-average executive stability, though no company-wide turnover data was found [2]. Insider Buying (0/2): CEO Chiang's equity award vesting was extended to 2030 for retention, but this is a board grant rather than open-market buying; no net insider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sleeve; liquidity floor not triggered: 1,530,000 avg daily volume x $17.34 = ~$26.5M) [3]. PAGP raised FY2026 Adjusted EBITDA guidance to $2.88B on Permian crude segment outperformance, with Q2 adjusted EBITDA reaching $738M [1]. Forward P/E of 12.85 scores 1.0, well below the 20x target, and D/E of 83% is modestly above the 70% target [3]. However, GAAP profitability remains thin — profit margin of 0.43% and ROE of 9.08% sit well below IOWN targets, reflecting the nature of the crude oil marketing business that inflates revenue ($47.8B TTM) with pass-through commodity flows [3]. Q1 2026 revenue grew 8.7% YoY to $12.47B, reversing the FY2025 revenue decline. The 7.12% distribution yield is supported by 12 consecutive years of payments and 5 consecutive years of growth (13.2% 5yr CAGR) since the 2020 COVID-era cut, though the 133% payout ratio against GAAP earnings scores 0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Plains presents genuine leadership stability under CEO Chiang since 2018 and modest portfolio flexibility (NGL exit, Permian reallocation), but the company's 2018 felony conviction for criminal negligence in the 2015 Refugio Beach spill — a failure to invest in basic pipeline maintenance that led to $300M+ in cumulative settlements — is the opposite of Sinek's Courage to Lead [6]. No evidence of a purpose beyond profitable hydrocarbon transport was found.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Plains' 'Do the Right Thing' safety motto is directly contradicted by its own criminal record — a 2018 jury found the company guilty of one felony and eight misdemeanors for knowingly allowing Line 901 to corrode until it ruptured near Refugio Beach in 2015 [6]. A cause exists in the stated values but is shallow and not validated by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Chiang's continuous tenure since 2018, President Pefanis' long service before retirement, average leadership tenure of 7.4 years, and a 3.8/5 Glassdoor rating signal organizational stability [2]. No exceptional trust indicators (employee empowerment, long average tenure) were documented.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was found framing competitor pipeline operators (Enterprise Products, Energy Transfer, MPLX) as sources of learning; available guidance language focuses on internal segment optimization rather than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Plains has incrementally reshaped its portfolio — divesting non-core Canadian NGL assets, exiting the NGL business, and reallocating $400-450M growth capital toward Permian crude optimization — but this is portfolio tuning, not a transformative reinvention of the business model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2018 felony conviction for the Refugio Beach spill establishes that leadership allowed a known corrosion risk on Line 901 to go unaddressed rather than investing in maintenance — the opposite of sacrificing near-term cost savings for long-term integrity [6]. The 2020 distribution cut was a defensive balance-sheet response to the COVID oil-price collapse, not a proactive principled stance.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Plains GP Holdings offers a 7.12% distribution yield with 13.2% 5yr growth, backed by one of the largest Permian Basin crude oil midstream franchises, and management raised FY2026 Adjusted EBITDA guidance to $2.88B on Q2 adjusted EBITDA of $738M, driven by Permian crude segment outperformance and tariff escalators [1][3]. Q1 2026 revenue grew 8.7% YoY to $12.47B, reversing the FY2025 decline, and $400-450M of growth capital deployed across Permian long-haul, Canadian gathering, and Permian gathering projects provides organic growth visibility [1]. Forward P/E of 12.85 offers value relative to the stable, fee-based infrastructure earnings profile, and 12 consecutive years of distributions (5 years of growth) reflect a successful post-COVID rebuild [3][4].</w:t>
      </w:r>
    </w:p>
    <w:p>
      <w:pPr>
        <w:spacing w:after="120"/>
      </w:pPr>
      <w:r>
        <w:rPr>
          <w:rFonts w:ascii="Calibri" w:hAnsi="Calibri"/>
          <w:b w:val="0"/>
          <w:color w:val="3A4A28"/>
          <w:sz w:val="20"/>
        </w:rPr>
        <w:t>The bear case centers on thin GAAP profitability (0.43% margin, 9.08% ROE) and a 133% payout ratio against GAAP earnings that leaves less cushion than the cash-flow-based metrics suggest, while D/E of 83% is modestly above target [3]. The stock's decline from $22+ to $17.34 reflects market concern about long-term crude oil demand as energy transition accelerates and ESG pressures mount on pipeline operators [5]. Legacy environmental liability remains a defining risk: the company's 2018 felony conviction for the 2015 Refugio Beach spill generated a $72.5M California settlement plus a separate $230M class-action settlement, on top of a 2010 EPA settlement covering 10 earlier spills — a reminder of the tail risk inherent in an 18,000-mile physical pipeline network with a documented history of deferred maintenance [6]. As a GP holding company with a complex Up-C structure, PAGP shareholders also bear structural complexity relative to direct PAA unit ownership.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Adjusted EBITDA guidance raised to $2.88B with Q2 EBITDA of $738M, with potential for further upside from Permian production growth and West Coast volume increases [1]</w:t>
      </w:r>
    </w:p>
    <w:p>
      <w:pPr>
        <w:spacing w:before="40" w:after="40"/>
        <w:ind w:left="283"/>
      </w:pPr>
      <w:r>
        <w:rPr>
          <w:rFonts w:ascii="Calibri" w:hAnsi="Calibri"/>
          <w:b/>
          <w:color w:val="4A6B25"/>
          <w:sz w:val="20"/>
        </w:rPr>
        <w:t xml:space="preserve">2. </w:t>
      </w:r>
      <w:r>
        <w:rPr>
          <w:rFonts w:ascii="Calibri" w:hAnsi="Calibri"/>
          <w:b w:val="0"/>
          <w:color w:val="3A4A28"/>
          <w:sz w:val="20"/>
        </w:rPr>
        <w:t>Growth capital of $400-450M deployed across Permian long-haul, Canadian gathering, and Permian gathering creates organic throughput growth in high-return asset corridors [1]</w:t>
      </w:r>
    </w:p>
    <w:p>
      <w:pPr>
        <w:spacing w:before="40" w:after="40"/>
        <w:ind w:left="283"/>
      </w:pPr>
      <w:r>
        <w:rPr>
          <w:rFonts w:ascii="Calibri" w:hAnsi="Calibri"/>
          <w:b/>
          <w:color w:val="4A6B25"/>
          <w:sz w:val="20"/>
        </w:rPr>
        <w:t xml:space="preserve">3. </w:t>
      </w:r>
      <w:r>
        <w:rPr>
          <w:rFonts w:ascii="Calibri" w:hAnsi="Calibri"/>
          <w:b w:val="0"/>
          <w:color w:val="3A4A28"/>
          <w:sz w:val="20"/>
        </w:rPr>
        <w:t>Sustained distribution growth (13.2% 5yr CAGR, 5 consecutive years) supported by approximately $1.85B of guided Adjusted Free Cash Flow, with yield of 7.12% at current stock price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Thin GAAP profitability (0.43% margin) and 133% payout ratio against GAAP earnings leave limited financial cushion if commodity prices or Permian production growth disappoint, even as distributable cash flow provides coverage [3]</w:t>
      </w:r>
    </w:p>
    <w:p>
      <w:pPr>
        <w:spacing w:before="40" w:after="40"/>
        <w:ind w:left="283"/>
      </w:pPr>
      <w:r>
        <w:rPr>
          <w:rFonts w:ascii="Calibri" w:hAnsi="Calibri"/>
          <w:b/>
          <w:color w:val="4A6B25"/>
          <w:sz w:val="20"/>
        </w:rPr>
        <w:t xml:space="preserve">2. </w:t>
      </w:r>
      <w:r>
        <w:rPr>
          <w:rFonts w:ascii="Calibri" w:hAnsi="Calibri"/>
          <w:b w:val="0"/>
          <w:color w:val="3A4A28"/>
          <w:sz w:val="20"/>
        </w:rPr>
        <w:t>A documented history of deferred pipeline maintenance culminating in a 2018 felony conviction and $300M+ in cumulative spill-related settlements illustrates ongoing environmental, regulatory, and reputational tail risk [6]</w:t>
      </w:r>
    </w:p>
    <w:p>
      <w:pPr>
        <w:spacing w:before="40" w:after="40"/>
        <w:ind w:left="283"/>
      </w:pPr>
      <w:r>
        <w:rPr>
          <w:rFonts w:ascii="Calibri" w:hAnsi="Calibri"/>
          <w:b/>
          <w:color w:val="4A6B25"/>
          <w:sz w:val="20"/>
        </w:rPr>
        <w:t xml:space="preserve">3. </w:t>
      </w:r>
      <w:r>
        <w:rPr>
          <w:rFonts w:ascii="Calibri" w:hAnsi="Calibri"/>
          <w:b w:val="0"/>
          <w:color w:val="3A4A28"/>
          <w:sz w:val="20"/>
        </w:rPr>
        <w:t>Long-term crude oil demand uncertainty as energy transition accelerates, combined with ESG pressures that limit capital availability for pipeline operators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PAA's business is the physical gathering, transportation, and storage of crude oil and NGLs across approximately 18,000 miles of pipeline and associated terminal/storage infrastructure — a capital-intensive, regulated, physical-world operation that AI cannot substitute or disintermediate [1]. If anything, AI-driven data center power demand growth increases downstream energy consumption flowing through midstream infrastructure. No analyst commentary identified any AI substitution risk to PAA's core tariff-based transportation model. AI Opportunity (0/1): No AI-related revenue stream was identified; PAA references emerging technology investments (AI/ML/IoT) for operational optimization, but these are internal efficiency tools rather than a distinct AI revenue 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Plains GP Holdings Q1-Q2 2026 Results and FY2026 Guidance Raise — EBITDA $2.88B, Q2 EBITDA $738M, Growth Capital $400-450M,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Plains All American Pipeline Corporate Profile, Leadership, and Culture — CEO Willie Chiang, President Pefanis Retirement, Glassdoor 3.8/5, plains.com,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 PAGP Key Statistics: Forward P/E 12.85, ROE 9.08%, D/E 83%, Profit Margin 0.43%, Stock Price $17.34, Avg Volume 1.53M,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Plains GP Holdings Dividend History — Yield 7.12%, 5yr CAGR 13.2%, 12 Consecutive Years Paid, stockanalysis.com / dividend.com,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Plains GP Holdings ESG and Sustainability — Morningstar ESG Ratings, HSES Board Committee, Industry-Leading Disclosure,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Refugio Beach / Line 901 Oil Spill Felony Conviction and Settlements — California State Lands Commission, U.S. DOJ, $72.5M + $230M Settlements, 2018-2025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