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PAGS</w:t>
      </w:r>
      <w:r>
        <w:rPr>
          <w:rFonts w:ascii="Calibri" w:hAnsi="Calibri"/>
          <w:b/>
          <w:color w:val="1A2010"/>
          <w:sz w:val="40"/>
        </w:rPr>
        <w:t xml:space="preserve">  PagSeguro Digital Ltd.</w:t>
      </w:r>
    </w:p>
    <w:p>
      <w:pPr>
        <w:spacing w:after="120"/>
      </w:pPr>
      <w:r>
        <w:rPr>
          <w:rFonts w:ascii="Calibri" w:hAnsi="Calibri"/>
          <w:b/>
          <w:color w:val="6E8450"/>
          <w:sz w:val="18"/>
        </w:rPr>
        <w:t>GROWTH SLEEVE · 2026-08-30 · Inspire: 36 · MIXED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F8E1" w:val="clear"/>
          </w:tcPr>
          <w:p>
            <w:pPr>
              <w:spacing w:before="40" w:after="40"/>
              <w:jc w:val="center"/>
            </w:pPr>
            <w:r>
              <w:rPr>
                <w:rFonts w:ascii="Calibri" w:hAnsi="Calibri"/>
                <w:b/>
                <w:color w:val="D97706"/>
                <w:sz w:val="20"/>
              </w:rPr>
              <w:t>HOLD</w:t>
            </w:r>
          </w:p>
        </w:tc>
      </w:tr>
    </w:tbl>
    <w:p>
      <w:pPr>
        <w:spacing w:before="120" w:after="200"/>
      </w:pPr>
      <w:r>
        <w:rPr>
          <w:rFonts w:ascii="Calibri" w:hAnsi="Calibri"/>
          <w:b/>
          <w:color w:val="1A2010"/>
          <w:sz w:val="80"/>
        </w:rPr>
        <w:t>62</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Financial Services · Specialty Finance / Digital Payments · NYSE · Brazil</w:t>
      </w:r>
    </w:p>
    <w:p>
      <w:pPr>
        <w:spacing w:after="80"/>
      </w:pPr>
      <w:r>
        <w:rPr>
          <w:rFonts w:ascii="Calibri" w:hAnsi="Calibri"/>
          <w:b w:val="0"/>
          <w:color w:val="3A4A28"/>
          <w:sz w:val="20"/>
        </w:rPr>
        <w:t>PagSeguro Digital, operating as PagBank, is a leading Brazilian fintech providing an end-to-end digital banking ecosystem spanning payment processing (POS terminals, online payments), digital banking (deposits, credit cards, lending), investments, and insurance. Subsidiary of UOL Group, PagBank serves 34 million customers including 6.3 million merchants. Q2 2026 non-GAAP net income reached R$576M with banking revenue surging 28.9% YoY and cash-in volumes up 23.3%. The company declared a US$0.28 per share cash dividend for September 2026 and is executing a $200M share buyback program with $100M already deployed.</w:t>
      </w:r>
    </w:p>
    <w:p>
      <w:r>
        <w:rPr>
          <w:rFonts w:ascii="Calibri" w:hAnsi="Calibri"/>
          <w:b/>
          <w:color w:val="6E8450"/>
          <w:sz w:val="18"/>
        </w:rPr>
        <w:t>7,500 Employees · https://www.pagbank.com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(2/3): PagBank successfully transformed from a pure payment processor into a full-service digital banking platform, with banking revenue surging 28.9% YoY in Q2 2026 and growing 41% in Q1 [1]. Credit portfolio expanded to R$51B (up 11% YoY) with total loans surging 36%, deposits reached R$42B (up 23%), and working capital loans grew 191% — representing genuine multi-product business model expansion [1]. AI Deployment (1/2): Deploying AI and machine learning for fraud detection, dispute management, customer support productivity, and transaction monitoring, but has not reported quantified revenue or cost-savings attributable to AI [2]. Identified practical AI use cases across operations but remains in deployment rather than revenue-generation phase. Market Share (1/2): 34 million customers and 6.3 million merchants make PagBank a significant Brazilian fintech player, but it trails Nubank (~100M customers) and competes intensely with Stone, Mercado Pago, and traditional banks without category leadership in any single product [1]. Product Pipeline (1/2): Clear strategic roadmap to intensify credit growth and deepen banking transactionality, with visible traction (TPV up 3%, banking segment accelerating), but no specific next-generation product launches with named timelines disclosed [1]. R&amp;D Intensity (1/1): Technology and engineering personnel historically represent over 60% of total headcount, well above financial services industry averages [2].</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PagBank's mission to 'disrupt and democratize financial services in Brazil' is clear, specific, and socially relevant in a concentrated, underpenetrated market with high interest rates, serving 34M customers including many previously underbanked [2]. The purpose differentiates from generic fintech positioning but is not distinctive among Brazilian fintechs — Nubank, Stone, and Inter articulate near-identical goals. Community Impact (1/2): PagBank's core business model inherently serves financial inclusion by providing affordable services to previously unbanked Brazilian merchants and consumers [3]. Signatory of UN Global Compact, earned Women on Board seal (33% female board), established ESG Committee reporting to the Board, and published sustainability reports. However, no specific dollar amounts for charitable giving identified. Employee Retention (1/2): CEO transition from prior leadership to COO Carlos Mauad (January 2026) was handled as an orderly internal promotion, with CFO Gustavo Sechin also appointed from within — suggesting succession planning and organizational stability [2]. No specific turnover or tenure data available. Insider Buying (0/2): Director Alexandre Magnani sold approximately US$2.3M in shares at $11.26, reducing holdings by 25% [1]. The $200M corporate buyback program signals institutional confidence but is not individual insider conviction.</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9</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961"/>
            <w:shd w:fill="16A34A" w:val="clear"/>
          </w:tcPr>
          <w:p>
            <w:pPr>
              <w:spacing w:before="0" w:after="0"/>
            </w:pPr>
            <w:r>
              <w:rPr>
                <w:rFonts w:ascii="Calibri" w:hAnsi="Calibri"/>
                <w:b w:val="0"/>
                <w:color w:val="1A2010"/>
                <w:sz w:val="4"/>
              </w:rPr>
            </w:r>
          </w:p>
        </w:tc>
        <w:tc>
          <w:tcPr>
            <w:tcW w:type="dxa" w:w="55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available metrics. PagBank demonstrates exceptional value metrics with Forward P/E of 6.50 (well below 20 target, score 1.0), PEG of 0.59 (well below 1.0 target, score 1.0 with 2x weight), and D/E of 25% (well below 70% target, score 1.0) [4]. ROE of 15.17% meets the 15% target (score 1.0, 2x weight). 5-year revenue CAGR of 23.3% far exceeds the 10% target (score 1.0, 2x weight). Revenue growth YoY of 6.4% is below the 10% target but above the -20% floor (score 0.88) [1]. Profit margin of 11% is below the 20% target (score 0.55). Weighted sum: 9.43/10 = infrastructure score of 9. Liquidity floor cleared: 3.98M avg volume x $11.09 = $44.1M daily.</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B8860B"/>
          <w:sz w:val="22"/>
        </w:rPr>
        <w:t>MIXED</w:t>
      </w:r>
      <w:r>
        <w:rPr>
          <w:rFonts w:ascii="Calibri" w:hAnsi="Calibri"/>
          <w:b w:val="0"/>
          <w:color w:val="6E8450"/>
          <w:sz w:val="22"/>
        </w:rPr>
        <w:t xml:space="preserve">      Overall: </w:t>
      </w:r>
      <w:r>
        <w:rPr>
          <w:rFonts w:ascii="Calibri" w:hAnsi="Calibri"/>
          <w:b/>
          <w:color w:val="B8860B"/>
          <w:sz w:val="28"/>
        </w:rPr>
        <w:t>6</w:t>
      </w:r>
      <w:r>
        <w:rPr>
          <w:rFonts w:ascii="Calibri" w:hAnsi="Calibri"/>
          <w:b w:val="0"/>
          <w:color w:val="9DAF88"/>
          <w:sz w:val="18"/>
        </w:rPr>
        <w:t xml:space="preserve"> /10</w:t>
      </w:r>
    </w:p>
    <w:p>
      <w:pPr>
        <w:spacing w:after="120"/>
      </w:pPr>
      <w:r>
        <w:rPr>
          <w:rFonts w:ascii="Calibri" w:hAnsi="Calibri"/>
          <w:b w:val="0"/>
          <w:color w:val="3A4A28"/>
          <w:sz w:val="18"/>
        </w:rPr>
        <w:t>PagBank demonstrates a genuine financial inclusion mission that has been partially validated through execution — transforming from payments to a full banking ecosystem serving underbanked Brazilians. The orderly CEO transition and internal promotion culture suggest organizational maturity. However, the company is still relatively young (NYSE-listed since 2018) and has not been tested through multiple market cycles, and competitive language sometimes defaults to market share metrics rather than purpose-driven framing.</w:t>
      </w:r>
    </w:p>
    <w:p>
      <w:pPr>
        <w:spacing w:before="200" w:after="40"/>
      </w:pPr>
      <w:r>
        <w:rPr>
          <w:rFonts w:ascii="Calibri" w:hAnsi="Calibri"/>
          <w:b/>
          <w:color w:val="1A2010"/>
          <w:sz w:val="22"/>
        </w:rPr>
        <w:t>Just Cause</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(2/3): PagBank's mission to democratize financial services in Brazil is genuine and partially lived — expanding from payments to banking, lending, and insurance to serve 34M customers, many previously underbanked [1]. Strategic decisions (affordable pricing, mobile-first design, credit expansion during high-rate environment) trace back to this purpose. However, the cause has not been proven through decades of consistent execution or major crises, and the January 2026 CEO transition is its first significant leadership test [2].</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The internal promotion of COO Carlos Mauad to CEO and Head of IR Gustavo Sechin to CFO in January 2026 demonstrates leadership continuity and succession planning rather than disruptive external hires [2]. Engineering-heavy culture (60%+ technical headcount) suggests empowered teams. UN Global Compact signatory and 33% female board representation indicate governance maturity. However, no specific employee retention, tenure, or satisfaction data is publicly available.</w:t>
      </w:r>
    </w:p>
    <w:p>
      <w:pPr>
        <w:spacing w:before="200" w:after="40"/>
      </w:pPr>
      <w:r>
        <w:rPr>
          <w:rFonts w:ascii="Calibri" w:hAnsi="Calibri"/>
          <w:b/>
          <w:color w:val="1A2010"/>
          <w:sz w:val="22"/>
        </w:rPr>
        <w:t>Worthy Rivals</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(1/1): PagBank operates in an intensely competitive Brazilian fintech landscape alongside Nubank, Mercado Pago, Stone, and traditional banks, and management commentary focuses on expanding its own ecosystem and deepening customer value rather than destructive competitive language [1]. Strategic decisions — entering banking, lending, insurance — reflect responses to competitors' strengths (Nubank's banking superiority, Mercado Pago's ecosystem) rather than attempts to eliminate rivals.</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PagSeguro evolved from a pure payment processing company into PagBank, a full-service digital banking platform, with banking revenue now growing 28.9% YoY and representing an increasingly large share of total revenue [1]. The credit portfolio expansion (loans up 36%) and deposit growth (R$42B) demonstrate successful entry into adjacent financial services. This is meaningful adaptation but incremental extension into adjacent markets rather than a transformative reinvention.</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PagBank expanded its credit portfolio aggressively (total loans surging 36%, working capital loans up 191%) during Brazil's punishing high-SELIC environment, demonstrating willingness to invest in growth despite macro headwinds [1]. The $200M buyback program at depressed valuations ($100M deployed) shows conviction. However, these are conventional strategic moves for a fintech rather than genuinely courageous bets that sacrifice near-term results.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PagBank at 6.50x forward earnings and 0.59x PEG ratio offers deep value for a profitable Brazilian fintech generating 28.9% banking revenue growth and R$576M quarterly non-GAAP net income [1]. The strategic pivot from payments to full-service banking is working — credit portfolio expanded to R$51B, deposits surged 23% to R$42B, and diluted EPS climbed ~10% YoY in Q2 2026, while the company returns capital via $200M buyback ($100M deployed) and newly initiated dividends (US$0.28/share in September, R$1.4B planned for 2026) [1][4]. ROE of 15.17%, D/E of 25%, and 5-year revenue CAGR of 23.3% demonstrate a financially disciplined institution trading at a fraction of global fintech peer valuations. With 34M customers and 6.3M merchants in an underpenetrated Brazilian market, PagBank offers asymmetric upside if macro conditions normalize.</w:t>
      </w:r>
    </w:p>
    <w:p>
      <w:pPr>
        <w:spacing w:after="120"/>
      </w:pPr>
      <w:r>
        <w:rPr>
          <w:rFonts w:ascii="Calibri" w:hAnsi="Calibri"/>
          <w:b w:val="0"/>
          <w:color w:val="3A4A28"/>
          <w:sz w:val="20"/>
        </w:rPr>
        <w:t>The bear case centers on decelerating top-line growth and Brazilian macro fragility. Total revenue grew only 6.4% YoY in Q1 2026, with TPV growing just 3% — a significant slowdown from historical double-digit growth despite the banking transformation [1]. Brazil's elevated SELIC rate compresses net interest margins, increases credit risk on the rapidly growing R$51B credit portfolio, and dampens consumer spending. The 11% profit margin remains well below fintech peers, limiting valuation re-rating potential. Competition from Nubank (~100M customers, superior brand recognition), Mercado Pago (Mercado Libre ecosystem), and aggressive traditional banks creates sustained pressure. Director Alexandre Magnani's $2.3M insider sale (25% of holdings) undercuts the buyback narrative [1]. The new CEO Carlos Mauad (January 2026) has yet to be tested through a macro downturn, and FX volatility creates translation risk for USD-denominated shareholders.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Banking revenue growth trajectory (28.9% in Q2, 41% in Q1 2026) accelerating as banking becomes a larger revenue share — credit expansion and deposit growth could drive overall revenue re-acceleration above the current 6.4% pace [1]</w:t>
      </w:r>
    </w:p>
    <w:p>
      <w:pPr>
        <w:spacing w:before="40" w:after="40"/>
        <w:ind w:left="283"/>
      </w:pPr>
      <w:r>
        <w:rPr>
          <w:rFonts w:ascii="Calibri" w:hAnsi="Calibri"/>
          <w:b/>
          <w:color w:val="4A6B25"/>
          <w:sz w:val="20"/>
        </w:rPr>
        <w:t xml:space="preserve">2. </w:t>
      </w:r>
      <w:r>
        <w:rPr>
          <w:rFonts w:ascii="Calibri" w:hAnsi="Calibri"/>
          <w:b w:val="0"/>
          <w:color w:val="3A4A28"/>
          <w:sz w:val="20"/>
        </w:rPr>
        <w:t>Capital returns program totaling R$1.4B in 2026 dividends plus $200M buyback at depressed valuations (6.50x forward P/E) provide direct shareholder value and signal management confidence in sustainable profitability [1]</w:t>
      </w:r>
    </w:p>
    <w:p>
      <w:pPr>
        <w:spacing w:before="40" w:after="40"/>
        <w:ind w:left="283"/>
      </w:pPr>
      <w:r>
        <w:rPr>
          <w:rFonts w:ascii="Calibri" w:hAnsi="Calibri"/>
          <w:b/>
          <w:color w:val="4A6B25"/>
          <w:sz w:val="20"/>
        </w:rPr>
        <w:t xml:space="preserve">3. </w:t>
      </w:r>
      <w:r>
        <w:rPr>
          <w:rFonts w:ascii="Calibri" w:hAnsi="Calibri"/>
          <w:b w:val="0"/>
          <w:color w:val="3A4A28"/>
          <w:sz w:val="20"/>
        </w:rPr>
        <w:t>Brazilian SELIC rate normalization would expand net interest margins, reduce credit losses across the R$51B credit portfolio, and improve consumer spending — a macro tailwind for the entire payment and banking ecosystem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Top-line deceleration to 6.4% YoY revenue growth and 3% TPV growth signals payment volume maturation that banking expansion may not fully offset, particularly against Nubank and Mercado Pago with structurally larger scale [1]</w:t>
      </w:r>
    </w:p>
    <w:p>
      <w:pPr>
        <w:spacing w:before="40" w:after="40"/>
        <w:ind w:left="283"/>
      </w:pPr>
      <w:r>
        <w:rPr>
          <w:rFonts w:ascii="Calibri" w:hAnsi="Calibri"/>
          <w:b/>
          <w:color w:val="4A6B25"/>
          <w:sz w:val="20"/>
        </w:rPr>
        <w:t xml:space="preserve">2. </w:t>
      </w:r>
      <w:r>
        <w:rPr>
          <w:rFonts w:ascii="Calibri" w:hAnsi="Calibri"/>
          <w:b w:val="0"/>
          <w:color w:val="3A4A28"/>
          <w:sz w:val="20"/>
        </w:rPr>
        <w:t>Sustained high SELIC rates compress net interest margins and elevate credit losses in the rapidly growing loan portfolio (total loans up 36%), creating concentration risk if Brazil's macro environment deteriorates further [1]</w:t>
      </w:r>
    </w:p>
    <w:p>
      <w:pPr>
        <w:spacing w:before="40" w:after="40"/>
        <w:ind w:left="283"/>
      </w:pPr>
      <w:r>
        <w:rPr>
          <w:rFonts w:ascii="Calibri" w:hAnsi="Calibri"/>
          <w:b/>
          <w:color w:val="4A6B25"/>
          <w:sz w:val="20"/>
        </w:rPr>
        <w:t xml:space="preserve">3. </w:t>
      </w:r>
      <w:r>
        <w:rPr>
          <w:rFonts w:ascii="Calibri" w:hAnsi="Calibri"/>
          <w:b w:val="0"/>
          <w:color w:val="3A4A28"/>
          <w:sz w:val="20"/>
        </w:rPr>
        <w:t>New CEO Carlos Mauad and CFO Gustavo Sechin (both January 2026) face their first strategic test during competitive intensity and macro headwinds, with insider selling ($2.3M by director) undermining management conviction narrative [1][2]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B8860B"/>
          <w:sz w:val="16"/>
        </w:rPr>
        <w:t xml:space="preserve"> MODERATE </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(5/9): PagBank's core business — payment processing and digital banking — is protected by Brazilian Banco Central licensing requirements, an established merchant hardware network (POS terminals), and 34 million customer relationships with high switching costs [1]. Physical payment infrastructure and banking licenses create barriers AI alone cannot replicate. However, AI-native competitors could improve credit underwriting, customer acquisition, and fraud detection faster than PagBank adapts, and generative AI tools are lowering barriers to building competitive financial products in Brazil. Credit scoring, customer service, and fraud detection — core PagBank functions — are increasingly commoditized by AI [2]. The fintech sector faces moderate disruption risk as AI enables new entrants with lower cost structures. AI Opportunity (1/1): PagBank is deploying AI across fraud detection, dispute management, customer support, and transaction monitoring, generating operational efficiency improvements, though specific revenue attribution has not been quantified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36</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Data Security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Materials Efficiency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Product Sustainability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PagBank Q1 &amp; Q2 2026 Earnings Releases — Q1 Net Revenue R$3.3B (+6.4% YoY), Non-GAAP Net Income R$575M; Q2 Non-GAAP Net Income R$576M, Banking Revenue +28.9%, EPS ~10% YoY Growth — Investing.com, TipRanks, StockTitan, May-August 2026</w:t>
      </w:r>
    </w:p>
    <w:p>
      <w:pPr>
        <w:spacing w:before="20" w:after="20"/>
        <w:ind w:left="170"/>
      </w:pPr>
      <w:r>
        <w:rPr>
          <w:rFonts w:ascii="Calibri" w:hAnsi="Calibri"/>
          <w:b/>
          <w:color w:val="4A6B25"/>
          <w:sz w:val="15"/>
        </w:rPr>
        <w:t xml:space="preserve">2. </w:t>
      </w:r>
      <w:r>
        <w:rPr>
          <w:rFonts w:ascii="Calibri" w:hAnsi="Calibri"/>
          <w:b w:val="0"/>
          <w:color w:val="3A4A28"/>
          <w:sz w:val="17"/>
        </w:rPr>
        <w:t>PagBank Leadership, AI Strategy, and Company Culture — CEO Carlos Mauad and CFO Gustavo Sechin appointed January 2026, AI in Fraud Detection and Customer Support, Engineering 62%+ of Headcount — SEC Filings, TheOrg, 2026</w:t>
      </w:r>
    </w:p>
    <w:p>
      <w:pPr>
        <w:spacing w:before="20" w:after="20"/>
        <w:ind w:left="170"/>
      </w:pPr>
      <w:r>
        <w:rPr>
          <w:rFonts w:ascii="Calibri" w:hAnsi="Calibri"/>
          <w:b/>
          <w:color w:val="4A6B25"/>
          <w:sz w:val="15"/>
        </w:rPr>
        <w:t xml:space="preserve">3. </w:t>
      </w:r>
      <w:r>
        <w:rPr>
          <w:rFonts w:ascii="Calibri" w:hAnsi="Calibri"/>
          <w:b w:val="0"/>
          <w:color w:val="3A4A28"/>
          <w:sz w:val="17"/>
        </w:rPr>
        <w:t>PagBank ESG and Sustainability — ESG Committee, UN Global Compact Signatory, Women on Board Seal, Sustainability Reports — MarketScreener, SEC Form 20-F FY2025, investors.pagbank.com</w:t>
      </w:r>
    </w:p>
    <w:p>
      <w:pPr>
        <w:spacing w:before="20" w:after="20"/>
        <w:ind w:left="170"/>
      </w:pPr>
      <w:r>
        <w:rPr>
          <w:rFonts w:ascii="Calibri" w:hAnsi="Calibri"/>
          <w:b/>
          <w:color w:val="4A6B25"/>
          <w:sz w:val="15"/>
        </w:rPr>
        <w:t xml:space="preserve">4. </w:t>
      </w:r>
      <w:r>
        <w:rPr>
          <w:rFonts w:ascii="Calibri" w:hAnsi="Calibri"/>
          <w:b w:val="0"/>
          <w:color w:val="3A4A28"/>
          <w:sz w:val="17"/>
        </w:rPr>
        <w:t>StockAnalysis, GuruFocus, Yahoo Finance — PAGS Key Statistics: Forward P/E 6.50x, PEG 0.59, D/E 25%, ROE 15.17%, Profit Margin 11%, Stock Price $11.09, accessed August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