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PBI</w:t>
      </w:r>
      <w:r>
        <w:rPr>
          <w:rFonts w:ascii="Calibri" w:hAnsi="Calibri"/>
          <w:b/>
          <w:color w:val="1A2010"/>
          <w:sz w:val="40"/>
        </w:rPr>
        <w:t xml:space="preserve">  Pitney Bowes Inc.</w:t>
      </w:r>
    </w:p>
    <w:p>
      <w:pPr>
        <w:spacing w:after="120"/>
      </w:pPr>
      <w:r>
        <w:rPr>
          <w:rFonts w:ascii="Calibri" w:hAnsi="Calibri"/>
          <w:b/>
          <w:color w:val="6E8450"/>
          <w:sz w:val="18"/>
        </w:rPr>
        <w:t>GROWTH SLEEVE · 2026-09-09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Specialty Business Services · NYSE · United States</w:t>
      </w:r>
    </w:p>
    <w:p>
      <w:pPr>
        <w:spacing w:after="80"/>
      </w:pPr>
      <w:r>
        <w:rPr>
          <w:rFonts w:ascii="Calibri" w:hAnsi="Calibri"/>
          <w:b w:val="0"/>
          <w:color w:val="3A4A28"/>
          <w:sz w:val="20"/>
        </w:rPr>
        <w:t>Pitney Bowes provides shipping and mailing technology solutions through two core segments: SendTech Solutions (postage meters, digital mailing systems, shipping APIs) and Presort Services (mail presort processing for USPS workshare discounts). After divesting the unprofitable Global Ecommerce segment in late 2024, PBI has streamlined operations and dramatically improved profitability. Q2 2026 revenue was $451.5M (-2.3% YoY) but EPS more than doubled, with full-year 2026 guidance of $1.55-$1.70 adjusted EPS and $360-$410M free cash flow. Market cap is approximately $2.7B.</w:t>
      </w:r>
    </w:p>
    <w:p>
      <w:r>
        <w:rPr>
          <w:rFonts w:ascii="Calibri" w:hAnsi="Calibri"/>
          <w:b/>
          <w:color w:val="6E8450"/>
          <w:sz w:val="18"/>
        </w:rPr>
        <w:t>11,000 Employees · https://www.pitneybowes.com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Pitney Bowes has executed a meaningful strategic pivot by divesting the money-losing Global Ecommerce business in 2024 and refocusing on its core SendTech and Presort segments, which has dramatically improved profitability — adjusted EPS grew 42% YoY in Q1 2026 and more than doubled in Q2 2026 [1][2]. However, this represents operational streamlining rather than product innovation, and consolidated revenue continues to decline (-2.3% in Q2 2026). AI Deployment (0/2): No evidence of significant AI deployment across PBI's product lines. The company's internal Innovation of the Year Awards program suggests a culture of incremental process improvements, but there is no public evidence of AI-powered products, machine learning integration in mailing/shipping solutions, or AI-driven automation at scale [3]. Market Share (2/2): PBI maintains a dominant position in postage meters and mailing technology, serving over 1.5 million clients globally. The Presort Services segment processes approximately 15 billion pieces of mail annually, making PBI one of the largest presort operators in the United States. These are mature but defensible market positions [1]. Product Pipeline (1/2): The company is investing in shipping API technology and digital sending solutions to transition from hardware-centric postage meters toward software-as-a-service offerings, but specific named products with launch dates and revenue projections are not publicly disclosed. R&amp;D Intensity (0/1): R&amp;D spending is low relative to revenue, consistent with an operationally focused industrial services company rather than a technology innovator.</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PBI's stated purpose — powering commerce and simplifying the complexities of shipping and mailing — is functional and specific to its domain but lacks the aspirational quality that drives stakeholder commitment beyond transactional relationships. The leadership principle 'Do the right thing, the right way' is generic and does not meaningfully differentiate the company's purpose from any competent industrial competitor. Community Impact (1/2): The company has published annual corporate responsibility reports since 2008, aligned with GRI standards and UN Sustainable Development Goals, covering environmental sustainability, employee safety, diversity, and community philanthropy [5]. However, the extended leadership instability — with interim CEO Lance Rosenzweig appointed in May 2024 following the departure of Marc Lautenbach — and significant workforce reductions during the GEC divestiture suggest community and employee commitments were subordinated to restructuring priorities. Employee Retention (0/2): No publicly available retention or tenure data. The leadership transition, interim CEO status, and restructuring layoffs create reasonable concern about employee stability and cultural continuity. Insider Buying (0/2): No evidence of meaningful net insider buying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PBI's strongest infrastructure signals are its attractive valuation — forward P/E of 10.42x is well below the 20x target, and PEG of 0.88 is below the 1.0 target, reflecting market skepticism that creates value opportunity [4]. However, the balance sheet is severely impaired: shareholders' equity is negative ($2.16B in debt against negative book value), making both D/E and ROE metrics score zero mechanically [4]. ROE of -18.0% reflects the negative equity base rather than operational returns. Profit margin of 7.6% is improving but well below the 20% target. Revenue growth YoY of -2.3% is a decelerating decline (improved from -5% a year ago) but still negative, and the estimated 5-year revenue CAGR of approximately -7% reflects the cumulative impact of the GEC divestiture and secular mail volume decline [1][2]. The company easily clears the liquidity floor with approximately $32M in daily trading volume (2.16M shares at ~$15).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Pitney Bowes shows elements of both finite and infinite game thinking. The painful but necessary divestiture of the GEC segment and operational restructuring demonstrate willingness to make difficult long-term decisions, and the company's 100+ year history proves institutional resilience [2]. However, the extended period with an interim CEO, reactive cost-cutting rather than proactive reinvention, and a focus on near-term profitability metrics over long-term market creation suggest the company is currently playing to survive rather than to keep playing. The transformation from a mailing company to a broader commerce technology platform remains incomplete.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PBI's stated purpose of 'powering commerce' is functional but lacks the specificity and emotional resonance that sustains organizational commitment through adversity. The company's 100+ year history demonstrates institutional persistence, but the recent strategic focus has been on financial restructuring and cost optimization rather than advancing a cause that inspires stakeholders beyond shareholder returns [2]. The GEC divestiture was driven by financial necessity (the segment was losing hundreds of millions annually) rather than by a cause-driven strategic vision.</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PBI maintains a workforce of approximately 11,000 employees with established operational teams in Presort and SendTech that have institutional knowledge and operational discipline. However, the extended interim CEO period (Lance Rosenzweig appointed May 2024), significant layoffs during the GEC wind-down, and the departure of long-tenured CEO Marc Lautenbach create organizational uncertainty that undermines the psychological safety necessary for deep team trust [3]. The leadership instability at the top filters down through the organization.</w:t>
      </w:r>
    </w:p>
    <w:p>
      <w:pPr>
        <w:spacing w:before="200" w:after="40"/>
      </w:pPr>
      <w:r>
        <w:rPr>
          <w:rFonts w:ascii="Calibri" w:hAnsi="Calibri"/>
          <w:b/>
          <w:color w:val="1A2010"/>
          <w:sz w:val="22"/>
        </w:rPr>
        <w:t>Worthy Rivals</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PBI operates in a competitive landscape that includes FedEx, UPS, and Stamps.com/Auctane in shipping technology, and faces existential competitive pressure from digital communication platforms replacing physical mail. The company's decision to exit GEC rather than continue competing against Amazon and FedEx in ecommerce logistics demonstrates some competitive self-awareness — recognizing where it could not win rather than destroying shareholder value trying [2].</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PBI has demonstrated meaningful existential flexibility through the divestiture of Global Ecommerce, fundamentally reshaping the company from a three-segment business to a focused two-segment operation [2]. This required abandoning a multi-year, multi-billion-dollar strategic bet on ecommerce logistics and accepting the sunk cost. The ongoing pivot from physical postage meters toward digital shipping APIs and SaaS solutions represents a further evolution of the business model, though this transformation remains in early stages.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The decision to divest GEC took genuine courage — it meant publicly admitting a major strategic initiative had failed and accepting significant write-downs. The aggressive cost restructuring and raising of full-year guidance (revenue $1,800-$1,860M, adjusted EPS $1.55-$1.70, FCF $360-$410M) demonstrate confidence in the turnaround path [2][3]. However, the extended reliance on an interim CEO and the absence of a permanent leadership appointment suggest incomplete follow-through on building the long-term organizational capability needed to sustain transformation.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Pitney Bowes at 10.42x forward earnings is a value turnaround story with genuine momentum — Q2 2026 EPS more than doubled YoY to $0.36 while Q1 adjusted EPS grew 42% to $0.47, driven by aggressive cost management and the elimination of GEC losses [1][2]. Full-year 2026 guidance of $1.55-$1.70 adjusted EPS and $360-$410M free cash flow demonstrates the post-restructuring PBI generates substantial cash from its core SendTech and Presort franchises. The PEG ratio of 0.88 suggests the market undervalues the earnings growth trajectory. SendTech maintains a dominant installed base of postage meters with high switching costs, while Presort Services processes billions of mail pieces annually with USPS workshare economics that create a durable competitive advantage. The recently reinstated and growing dividend ($0.32 annualized) signals management confidence in sustainable cash generation.</w:t>
      </w:r>
    </w:p>
    <w:p>
      <w:pPr>
        <w:spacing w:after="120"/>
      </w:pPr>
      <w:r>
        <w:rPr>
          <w:rFonts w:ascii="Calibri" w:hAnsi="Calibri"/>
          <w:b w:val="0"/>
          <w:color w:val="3A4A28"/>
          <w:sz w:val="20"/>
        </w:rPr>
        <w:t>The bear case is structural: PBI's core addressable market — physical mail — is in secular decline, and no amount of operational efficiency can reverse the volume trends driven by digital communication adoption [1]. Revenue has declined for multiple consecutive years, and even the improved trajectory (-2.3% in Q2) is still negative. The balance sheet remains highly leveraged with $2.16B in debt against negative shareholders' equity, limiting strategic flexibility and exposing the company to refinancing risk if interest rates remain elevated [4]. The interim CEO arrangement since May 2024 creates leadership uncertainty — without a permanent CEO, long-term strategic vision beyond cost optimization is difficult to articulate or execute. The transformation to digital shipping APIs and SaaS puts PBI in competition with better-capitalized, technology-native rivals like ShipStation, EasyPost, and the logistics platforms of FedEx and UPS. The Inspire Impact Score of -49 (MISALIGNED) limits allocation for faith-based investors despite 19 positive ESG attributions.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Permanent CEO appointment could rerate the stock by providing long-term strategic clarity and signaling that the turnaround has moved from restructuring to growth phase — interim CEO status since May 2024 has suppressed the valuation multiple [3]</w:t>
      </w:r>
    </w:p>
    <w:p>
      <w:pPr>
        <w:spacing w:before="40" w:after="40"/>
        <w:ind w:left="283"/>
      </w:pPr>
      <w:r>
        <w:rPr>
          <w:rFonts w:ascii="Calibri" w:hAnsi="Calibri"/>
          <w:b/>
          <w:color w:val="4A6B25"/>
          <w:sz w:val="20"/>
        </w:rPr>
        <w:t xml:space="preserve">2. </w:t>
      </w:r>
      <w:r>
        <w:rPr>
          <w:rFonts w:ascii="Calibri" w:hAnsi="Calibri"/>
          <w:b w:val="0"/>
          <w:color w:val="3A4A28"/>
          <w:sz w:val="20"/>
        </w:rPr>
        <w:t>Free cash flow generation of $360-$410M guided for 2026 supports continued dividend growth, potential debt reduction, and share buybacks that could accelerate EPS growth from an already low base valuation of 10.42x forward earnings [2]</w:t>
      </w:r>
    </w:p>
    <w:p>
      <w:pPr>
        <w:spacing w:before="40" w:after="40"/>
        <w:ind w:left="283"/>
      </w:pPr>
      <w:r>
        <w:rPr>
          <w:rFonts w:ascii="Calibri" w:hAnsi="Calibri"/>
          <w:b/>
          <w:color w:val="4A6B25"/>
          <w:sz w:val="20"/>
        </w:rPr>
        <w:t xml:space="preserve">3. </w:t>
      </w:r>
      <w:r>
        <w:rPr>
          <w:rFonts w:ascii="Calibri" w:hAnsi="Calibri"/>
          <w:b w:val="0"/>
          <w:color w:val="3A4A28"/>
          <w:sz w:val="20"/>
        </w:rPr>
        <w:t>Successful transition of SendTech clients from hardware postage meters to recurring-revenue shipping SaaS products would improve revenue quality, expand margins, and justify a higher earnings multiple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Secular decline in first-class mail volume continues to compress PBI's core addressable market, with digital communication, e-billing, and AI-powered correspondence tools accelerating the shift away from physical mail [1]</w:t>
      </w:r>
    </w:p>
    <w:p>
      <w:pPr>
        <w:spacing w:before="40" w:after="40"/>
        <w:ind w:left="283"/>
      </w:pPr>
      <w:r>
        <w:rPr>
          <w:rFonts w:ascii="Calibri" w:hAnsi="Calibri"/>
          <w:b/>
          <w:color w:val="4A6B25"/>
          <w:sz w:val="20"/>
        </w:rPr>
        <w:t xml:space="preserve">2. </w:t>
      </w:r>
      <w:r>
        <w:rPr>
          <w:rFonts w:ascii="Calibri" w:hAnsi="Calibri"/>
          <w:b w:val="0"/>
          <w:color w:val="3A4A28"/>
          <w:sz w:val="20"/>
        </w:rPr>
        <w:t>Negative shareholders' equity and $2.16B debt load create refinancing risk and limit strategic optionality — a credit downgrade or inability to refinance at favorable terms could force dilutive actions [4]</w:t>
      </w:r>
    </w:p>
    <w:p>
      <w:pPr>
        <w:spacing w:before="40" w:after="40"/>
        <w:ind w:left="283"/>
      </w:pPr>
      <w:r>
        <w:rPr>
          <w:rFonts w:ascii="Calibri" w:hAnsi="Calibri"/>
          <w:b/>
          <w:color w:val="4A6B25"/>
          <w:sz w:val="20"/>
        </w:rPr>
        <w:t xml:space="preserve">3. </w:t>
      </w:r>
      <w:r>
        <w:rPr>
          <w:rFonts w:ascii="Calibri" w:hAnsi="Calibri"/>
          <w:b w:val="0"/>
          <w:color w:val="3A4A28"/>
          <w:sz w:val="20"/>
        </w:rPr>
        <w:t>Extended interim CEO status since May 2024 creates organizational uncertainty and suggests difficulty attracting permanent executive leadership to a company facing secular headwinds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NEUTRAL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PBI's core business operations are partially insulated from AI disruption because they involve physical infrastructure — Presort Services operates large-scale mail sorting facilities processing billions of pieces annually, and SendTech provides physical postage meters and mailing hardware to business clients [1]. AI cannot easily replicate the physical logistics of mail presort processing or replace installed hardware bases with switching costs. However, the secular decline in first-class mail volume (driven by digital communication, e-billing, and now AI-generated correspondence management) represents an ongoing existential threat to the mailing ecosystem that PBI depends on. AI-powered communication tools could further accelerate the shift from physical to digital correspondence, compressing PBI's addressable market. The shipping API and digital sending products face competition from well-funded tech competitors who can deploy AI more aggressively. AI Opportunity (0/1): No evidence of PBI deploying AI to generate meaningful new revenue or efficiency gains. The company's Innovation Awards program mentions 'disruptive innovation' but none of the publicly identified initiatives involve AI or machine learning capabilities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Pitney Bowes Q2 2026 Earnings Release — Revenue $451.5M (-2.3% YoY), Operating Profit $94.1M, EPS $0.36 (more than doubled YoY), July 2026</w:t>
      </w:r>
    </w:p>
    <w:p>
      <w:pPr>
        <w:spacing w:before="20" w:after="20"/>
        <w:ind w:left="170"/>
      </w:pPr>
      <w:r>
        <w:rPr>
          <w:rFonts w:ascii="Calibri" w:hAnsi="Calibri"/>
          <w:b/>
          <w:color w:val="4A6B25"/>
          <w:sz w:val="15"/>
        </w:rPr>
        <w:t xml:space="preserve">2. </w:t>
      </w:r>
      <w:r>
        <w:rPr>
          <w:rFonts w:ascii="Calibri" w:hAnsi="Calibri"/>
          <w:b w:val="0"/>
          <w:color w:val="3A4A28"/>
          <w:sz w:val="17"/>
        </w:rPr>
        <w:t>Pitney Bowes Q1 2026 Earnings Release — Revenue $477M (-3% YoY), Adjusted EPS $0.47 (+42% YoY), GAAP Net Income $58M (+64%), Full-Year Guidance Raised, May 2026</w:t>
      </w:r>
    </w:p>
    <w:p>
      <w:pPr>
        <w:spacing w:before="20" w:after="20"/>
        <w:ind w:left="170"/>
      </w:pPr>
      <w:r>
        <w:rPr>
          <w:rFonts w:ascii="Calibri" w:hAnsi="Calibri"/>
          <w:b/>
          <w:color w:val="4A6B25"/>
          <w:sz w:val="15"/>
        </w:rPr>
        <w:t xml:space="preserve">3. </w:t>
      </w:r>
      <w:r>
        <w:rPr>
          <w:rFonts w:ascii="Calibri" w:hAnsi="Calibri"/>
          <w:b w:val="0"/>
          <w:color w:val="3A4A28"/>
          <w:sz w:val="17"/>
        </w:rPr>
        <w:t>Pitney Bowes Leadership Transition — Lance Rosenzweig Appointed Interim CEO, Marc Lautenbach Departure, BusinessWire, May 2024</w:t>
      </w:r>
    </w:p>
    <w:p>
      <w:pPr>
        <w:spacing w:before="20" w:after="20"/>
        <w:ind w:left="170"/>
      </w:pPr>
      <w:r>
        <w:rPr>
          <w:rFonts w:ascii="Calibri" w:hAnsi="Calibri"/>
          <w:b/>
          <w:color w:val="4A6B25"/>
          <w:sz w:val="15"/>
        </w:rPr>
        <w:t xml:space="preserve">4. </w:t>
      </w:r>
      <w:r>
        <w:rPr>
          <w:rFonts w:ascii="Calibri" w:hAnsi="Calibri"/>
          <w:b w:val="0"/>
          <w:color w:val="3A4A28"/>
          <w:sz w:val="17"/>
        </w:rPr>
        <w:t>StockAnalysis, GuruFocus, SimplyWallSt — PBI Key Statistics: Forward P/E 10.42, PEG 0.88, ROE -18.0%, Profit Margin 7.6%, Negative Equity,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Pitney Bowes ESG Report — Annual Corporate Responsibility Reporting Since 2008, GRI-aligned, UN SDG Framework, 2022</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