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PCG</w:t>
      </w:r>
      <w:r>
        <w:rPr>
          <w:rFonts w:ascii="Calibri" w:hAnsi="Calibri"/>
          <w:b/>
          <w:color w:val="1A2010"/>
          <w:sz w:val="40"/>
        </w:rPr>
        <w:t xml:space="preserve">  PG&amp;E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Utilities · Utilities - Regulated Electric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PG&amp;E Corporation is the parent of Pacific Gas and Electric Company, a regulated electric and natural gas utility serving about 16 million people in Northern and Central California. TTM revenue is about $25.8B, up 5% YoY, and H1 2026 net income rose 37% to $1.59B. The company emerged from 2019 Chapter 11 bankruptcy driven by wildfire liabilities exceeding $30B and is executing a $73B capital plan through 2030 [1][3].</w:t>
      </w:r>
    </w:p>
    <w:p>
      <w:r>
        <w:rPr>
          <w:rFonts w:ascii="Calibri" w:hAnsi="Calibri"/>
          <w:b/>
          <w:color w:val="6E8450"/>
          <w:sz w:val="18"/>
        </w:rPr>
        <w:t>28,000 Employees · https://www.pgecorp.com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Post-bankruptcy, PG&amp;E has buried roughly 800 miles of power line since 2021 under a $3.7B plan to bury 1,230 miles, a safety-driven modernization but an incremental extension of the utility model [3]. AI Deployment (1/2): AI is being used for customer personalization and outage journeys, but no quantified savings or revenue are reported [2]. Market Share (1/2): Regulated monopoly territory, so a meaningful player with stable share rather than a share gainer. Pipeline (1/2): The $73B 2026-2030 capital plan is clear in scale but is vague on named next-generation products [1]. R&amp;D (0/1): Utility R&amp;D intensity is below technology-peer norms and no differentiated spend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Leadership frames the mission as safe, reliable, affordable and clean energy, with CEO Patti Poppe pursuing a cultural rather than merely financial turnaround; the aim is clear but not yet distinctive or validated over decades [2]. Community Impact (1/2): General corporate and foundation philanthropy exists, but no dollar-specific distinctive programs were found in research. Employee Retention (1/2): Glassdoor shows 80% would recommend and 77% positive outlook, average for the industry, with some reviews describing a toxic culture [2]. Insider Buying (0/2): No evidence of meaningful net insider buying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Scored mechanically as a Growth stock (10 weight units). Forward P/E of 6.8 (score 1.0), estimated PEG of 0.69 on about 10% EPS growth (1.0, 2x weight) and 5-yr revenue CAGR of about 7.8% (0.85, 2x weight) offset D/E of 189.5% (0.48), ROE of 9.3% (0.62, 2x weight), profit margin of 11.8% (0.59) and revenue growth of 0.1% YoY (0.67) [1]. Weighted sum 7.68 of 10 gives 8. Daily dollar volume of about $440M passes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PG&amp;E has a genuine post-bankruptcy safety cause under Patti Poppe, but its history of deferred maintenance and an average of about one wildfire ignition per day from 2014-2020 shows a finite, cost-optimizing past. The undergrounding program shows costly long-term commitment, yet the cause has only been tested for a few years.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Poppe's cultural turnaround toward safety and ending catastrophic wildfires is distinctive and referenced in capital allocation, but it has been lived for under six years after decades of finite behavior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Glassdoor shows 80% recommend and 3.6 senior management rating, with reviews both praising Poppe's empathy-first message and describing workers receiving excuses; adequate trust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As a regulated monopoly utility, there is no competitive framing or acknowledgement of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Chapter 11 reorganization and pivot to undergrounding and distributed grid planning were forced by crisis rather than chosen, so the flexibility is incremental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Committing $3.7B to bury 1,230 miles of line and calling on California for wildfire reform accepts near-term cost and political risk, but the pattern is not yet multi-decade [3][4].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PG&amp;E at $12.32 trades at 6.8x forward earnings with 2026 core EPS guidance of $1.64-$1.66 (10% growth at midpoint) and a fifth straight year of double-digit EPS growth; H1 2026 net income rose 37% to $1.59B on revenue up 8% to $12.78B [1]. A $73B capital plan through 2030 needing no new equity, plus data center load growth, gives a visible rate-base growth path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wildfire liability: expected 2017-2018 liabilities exceeded $30B, the shares fell 90% from pre-2017 levels, Sustainalytics rates ESG risk 'Severe', and a shelved California wildfire reform effort crushed the stock in 2026 [3][4]. D/E of 189% and ROE of 9.3% leave limited cushion, the stock sits below its $15.41 50-day average, and the company settled a $100M shareholder suit over misleading wildfire safety disclosures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Passage of California wildfire fund reform, which the CEO has publicly urged after the shelved effort sank the stock, would remove the largest valuation overhang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Delivery of 2026 core EPS of $1.64-$1.66 and a fifth consecutive year of double-digit earnings growth supported by the $73B capital plan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undergrounding of the 1,230-mile program lowering ignition risk and wildfire insurance and liability costs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 major utility-caused wildfire could recreate multi-billion-dollar liabilities, as 2017-2018 fires produced over $30B and a bankruptcy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California regulatory and legislative failure on wildfire reform, which already crushed the stock in 2026, pressuring allowed returns and affordability politics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Leverage with D/E of 189% and a $73B capex plan with no new equity through 2030, so rate-case outcomes drive financing capacity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PG&amp;E's poles, wires, substations and gas pipes are regulated physical infrastructure that AI cannot substitute, and AI-driven data center load growth supports its $73B capital plan [1][2]. The dominant risks are wildfire liability and California regulatory reform, not AI. AI Opportunity (0/1): No quantifiable AI revenue; AI is used only for customer service improvement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PG&amp;E Corp Q1 and Q2 2026 Earnings Press Releases (Form 8-K), SEC, April-July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PG&amp;E leadership and AI customer transformation - Yahoo Finance, Glassdoor, Chartwell,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PG&amp;E wildfire/ESG - Sustainalytics, CNBC (Jan 2026 $100M settlement), CalMatters, 2024-2026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CNBC, 'PG&amp;E CEO calls on California to pass wildfire reform',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