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PEGA</w:t>
      </w:r>
      <w:r>
        <w:rPr>
          <w:rFonts w:ascii="Calibri" w:hAnsi="Calibri"/>
          <w:b/>
          <w:color w:val="1A2010"/>
          <w:sz w:val="40"/>
        </w:rPr>
        <w:t xml:space="preserve">  Pegasystems Inc.</w:t>
      </w:r>
    </w:p>
    <w:p>
      <w:pPr>
        <w:spacing w:after="120"/>
      </w:pPr>
      <w:r>
        <w:rPr>
          <w:rFonts w:ascii="Calibri" w:hAnsi="Calibri"/>
          <w:b/>
          <w:color w:val="6E8450"/>
          <w:sz w:val="18"/>
        </w:rPr>
        <w:t>GROWTH SLEEVE · 2026-09-11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Pegasystems is an enterprise software company providing a low-code platform for customer engagement, business process automation, and — increasingly — 'agentic' AI orchestration through its Pega AI Blueprint tool. Founded in 1983 by Chairman and CEO Alan Trefler, who remains the largest shareholder at 45.93% ownership, the company is targeting $2B in FY2026 revenue (15% growth) driven by Pega Cloud, though H1 2026 bookings growth has tracked well below that guidance [source].</w:t>
      </w:r>
    </w:p>
    <w:p>
      <w:r>
        <w:rPr>
          <w:rFonts w:ascii="Calibri" w:hAnsi="Calibri"/>
          <w:b/>
          <w:color w:val="6E8450"/>
          <w:sz w:val="18"/>
        </w:rPr>
        <w:t>5,900 Employees · https://www.pega.com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Pega has pivoted its go-to-market and product narrative from legacy BPM/CRM toward 'agentic AI' orchestration via Pega AI Blueprint, a design-time reasoning-agent platform, opening a new growth vector reflected in Pega Cloud ACV reaching $926M (+22% YoY) [1]. AI Deployment (2/2): Blueprint is a shipping AI product used by enterprise clients to generate workflow designs from internal knowledge and documentation, with quantified traction via Cloud ACV growth directly tied to it [1]. Market Share (1/2): Pega is a longstanding leader in high-end process automation alongside rival Appian, but no specific share-gain percentage was found. Product Pipeline (1/2): Management has laid out 2026 targets (15% total ACV growth, Cloud ACV growth above 30%) tied to Blueprint adoption, but the company is tracking materially behind these targets through H1 2026 (7% total ACV growth), indicating pipeline visibility is weaker than guided [1]. R&amp;D Intensity (0/1): No comparative R&amp;D-to-revenue data versus enterprise software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Pega's stated mission — 'to deliver innovative software that crushes business complexity, so our clients can solve problems today and transform for tomorrow' — is a product-value-proposition statement interchangeable with many enterprise software peers, not a distinctive service-oriented purpose. Community Impact (1/2): The Trefler Foundation partnered with Girls in Tech on a fundraising initiative that raised $402,000, a specific but dated (2019) and modest program [2]. Employee Retention (1/2): Comparably data indicates the mission motivates roughly 70% of employees and 50% cite it as the reason for their loyalty, providing some retention-relevant evidence [2]. Insider Buying (0/2): CEO Alan Trefler has made 18 stock transactions over 5 years — all sales, zero purchases — totaling $63M sold in the past 2 years alone, a clear pattern of net insider selling [3]. Separately and materially: the resolved Appian corporate-espionage litigation (jury finding of 'willful and malicious' trade-secret theft via a covert operation using fake identities, including one used by Trefler himself) and a $35M shareholder settlement over 20 months of concealed litigation risk represent a severe integrity failure that undercuts any claim to a genuine purpose beyond winning at any cost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(PEG ratio unavailable, excluded from calculation). Pega scores at or near the maximum on nearly every metric: D/E of just 13% is far below the 70% target, ROE of 54.69% and profit margin of 18.66% reflect a highly efficient, asset-light software model, and Forward P/E of 13.81x is inexpensive for a profitable, growing software company [source]. FY2025 revenue growth of 16.61% exceeds the 10% target, and the 5-year revenue CAGR of 9.58% is just below target. The stock clears the liquidity floor comfortably (~$76M average daily dollar volume against a $1M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Sinek would treat Pegasystems as a cautionary case study rather than an infinite-game exemplar. The resolved Appian litigation — a jury's unanimous finding that Pega engaged in a covert espionage operation ('Project Crush') using fake identities, including one personally used by CEO Alan Trefler, to steal a rival's trade secrets, followed by 20 months of concealment from shareholders and a subsequent $35M investor settlement — is the direct opposite of Sinek's Worthy Rivals and Trusting Teams principles. A shareholder derivative suit's allegation that the board 'fostered a corporate culture that encouraged and protected illegal activities' is a serious, direct indictment of organizational trust, and the company's product-focused mission statement offers no evidence of a Just Cause beyond commercial success.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Pega's mission — 'to deliver innovative software that crushes business complexity' — is a product value proposition, not a resilient, service-oriented cause. The documented history of covert corporate espionage against a rival further undermines any claim that the company is organized around advancing something bigger than winning market share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 shareholder derivative lawsuit alleged that Pega's board, including CEO Alan Trefler, 'fostered a corporate culture that encouraged and protected illegal activities and unethical conduct in pursuit of profits,' resulting in a $7M settlement — direct evidence of a compliance-compromised internal culture rather than a high-trust, psychologically safe organization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Appian case is a textbook violation of the worthy-rivals principle — Pega employees used fake identities to infiltrate Appian's trial software and allegedly recruited a contractor to share trade secrets under the codename 'Project Crush,' with a jury calling the conduct 'willful and malicious.' This is a compete-to-destroy mindset, the opposite of Sinek's compete-to-improve framing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Pega has evolved from legacy on-premise BPM/CRM software through a cloud transition and now toward AI-orchestration positioning (Blueprint), representing genuine multi-decade business model adaptation, though each step has been incremental rather than a single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results for long-term capability; instead, available evidence — the concealment of the Appian litigation risk from investors for 20 months and the derivative-suit allegations of board-level tolerance for unethical conduct — points toward leadership protecting its own position and near-term stock price at the expense of shareholders' informed decision-making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Pegasystems presents an attractive financial profile on paper: D/E of just 13%, ROE of 54.69%, profit margin of 18.66%, FY2025 revenue growth of 16.61%, and a Forward P/E of only 13.81x for a business targeting $2B in revenue behind its AI Blueprint orchestration platform, which drove Pega Cloud ACV to $926M (+22% YoY) [1]. The company is well-capitalized to fund continued cloud and AI investment without leverage, and its repositioning as a governance layer for enterprise 'agentic AI' addresses a real customer need for predictable, controlled AI deployment as Trefler has publicly warned against uncoordinated multi-agent rollouts [source].</w:t>
      </w:r>
    </w:p>
    <w:p>
      <w:pPr>
        <w:spacing w:after="120"/>
      </w:pPr>
      <w:r>
        <w:rPr>
          <w:rFonts w:ascii="Calibri" w:hAnsi="Calibri"/>
          <w:b w:val="0"/>
          <w:color w:val="3A4A28"/>
          <w:sz w:val="20"/>
        </w:rPr>
        <w:t>The bear case is dominated by governance risk rather than financials. H1 2026 total ACV growth of just 7% — under half the 15% full-year guide — with management citing 'client delays amid AI market changes' raises real doubt about whether the Blueprint narrative is converting to bookings [1]. More fundamentally, the Appian litigation history is a serious character reference: a jury unanimously found Pega's conduct 'willful and malicious,' involving a CEO-led covert operation to steal a rival's trade secrets, and a $35M shareholder settlement stemmed from 20 months of concealing the litigation risk from investors. CEO Alan Trefler has sold stock in 18 of his last 18 transactions with zero purchases, and a shareholder derivative suit alleged the board fostered a culture that 'encouraged and protected illegal activities.' These facts drive the Inspiration and Infinite Game scores to the bottom of the range regardless of the company's balance sheet strength, and IOWN's framework treats this kind of integrity failure as a structural risk to long-term compounding, not a one-time event.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Second-half 2026 ACV acceleration needed to close the gap toward the 15% full-year guidance target, with any recovery in Blueprint-driven deal velocity likely to re-rate the stock [1]</w:t>
      </w:r>
    </w:p>
    <w:p>
      <w:pPr>
        <w:spacing w:before="40" w:after="40"/>
        <w:ind w:left="283"/>
      </w:pPr>
      <w:r>
        <w:rPr>
          <w:rFonts w:ascii="Calibri" w:hAnsi="Calibri"/>
          <w:b/>
          <w:color w:val="4A6B25"/>
          <w:sz w:val="20"/>
        </w:rPr>
        <w:t xml:space="preserve">2. </w:t>
      </w:r>
      <w:r>
        <w:rPr>
          <w:rFonts w:ascii="Calibri" w:hAnsi="Calibri"/>
          <w:b w:val="0"/>
          <w:color w:val="3A4A28"/>
          <w:sz w:val="20"/>
        </w:rPr>
        <w:t>Pega Cloud ACV crossing the $1B milestone, validating the multi-year cloud transition and improving recurring-revenue visibility [1]</w:t>
      </w:r>
    </w:p>
    <w:p>
      <w:pPr>
        <w:spacing w:before="40" w:after="40"/>
        <w:ind w:left="283"/>
      </w:pPr>
      <w:r>
        <w:rPr>
          <w:rFonts w:ascii="Calibri" w:hAnsi="Calibri"/>
          <w:b/>
          <w:color w:val="4A6B25"/>
          <w:sz w:val="20"/>
        </w:rPr>
        <w:t xml:space="preserve">3. </w:t>
      </w:r>
      <w:r>
        <w:rPr>
          <w:rFonts w:ascii="Calibri" w:hAnsi="Calibri"/>
          <w:b w:val="0"/>
          <w:color w:val="3A4A28"/>
          <w:sz w:val="20"/>
        </w:rPr>
        <w:t>Continued share buybacks funded by strong free cash flow and a near-debt-free balance sheet (D/E of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H1 2026 ACV growth of only 7% against a 15% full-year guide signals real execution risk, with management flagging AI-driven client purchasing hesitancy as an unresolved dynamic [1]</w:t>
      </w:r>
    </w:p>
    <w:p>
      <w:pPr>
        <w:spacing w:before="40" w:after="40"/>
        <w:ind w:left="283"/>
      </w:pPr>
      <w:r>
        <w:rPr>
          <w:rFonts w:ascii="Calibri" w:hAnsi="Calibri"/>
          <w:b/>
          <w:color w:val="4A6B25"/>
          <w:sz w:val="20"/>
        </w:rPr>
        <w:t xml:space="preserve">2. </w:t>
      </w:r>
      <w:r>
        <w:rPr>
          <w:rFonts w:ascii="Calibri" w:hAnsi="Calibri"/>
          <w:b w:val="0"/>
          <w:color w:val="3A4A28"/>
          <w:sz w:val="20"/>
        </w:rPr>
        <w:t>Governance overhang from the Appian trade-secret litigation — the case was remanded for a new trial after the Virginia Supreme Court affirmed vacating the original $2.036B verdict in January 2026, keeping legal uncertainty alive [4]</w:t>
      </w:r>
    </w:p>
    <w:p>
      <w:pPr>
        <w:spacing w:before="40" w:after="40"/>
        <w:ind w:left="283"/>
      </w:pPr>
      <w:r>
        <w:rPr>
          <w:rFonts w:ascii="Calibri" w:hAnsi="Calibri"/>
          <w:b/>
          <w:color w:val="4A6B25"/>
          <w:sz w:val="20"/>
        </w:rPr>
        <w:t xml:space="preserve">3. </w:t>
      </w:r>
      <w:r>
        <w:rPr>
          <w:rFonts w:ascii="Calibri" w:hAnsi="Calibri"/>
          <w:b w:val="0"/>
          <w:color w:val="3A4A28"/>
          <w:sz w:val="20"/>
        </w:rPr>
        <w:t>Competitive risk from hyperscaler-native agentic AI tools (Microsoft Copilot Studio, Salesforce Agentforce) that could commoditize the exact workflow-orchestration space Pega is repositioning around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Pega is attempting to reposition its core low-code BPM/CRM business as an AI orchestration layer that governs enterprise AI agents (Blueprint), which is a defensible framing, but the company's own H1 2026 results show total ACV growth of just 7% against a 15% guide, with management explicitly attributing the shortfall to 'client delays amid AI market changes' [1]. This is direct evidence that generative and agentic AI are creating real purchasing uncertainty for Pega's core workflow-automation offering, and hyperscaler-native tools (Microsoft Copilot Studio, Salesforce Agentforce) pose credible substitution risk to low-code orchestration platforms. AI Opportunity (1/1): Pega Cloud ACV of $926M (+22% YoY) is meaningfully tied to AI-Blueprint-influenced deals, a quantifiable AI-linked revenue contribution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Pegasystems Q1 and Q2 FY2026 Earnings Call Transcripts and Cloud ACV Disclosures, Futurum Group,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Comparably / Indeed — Pegasystems Mission, Vision &amp; Values and Girls in Tech Community Partnership,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GuruFocus — Alan Trefler Insider Trading History, 2026</w:t>
      </w:r>
    </w:p>
    <w:p>
      <w:pPr>
        <w:spacing w:before="20" w:after="20"/>
        <w:ind w:left="170"/>
      </w:pPr>
      <w:r>
        <w:rPr>
          <w:rFonts w:ascii="Calibri" w:hAnsi="Calibri"/>
          <w:b/>
          <w:color w:val="4A6B25"/>
          <w:sz w:val="15"/>
        </w:rPr>
        <w:t xml:space="preserve">4. </w:t>
      </w:r>
      <w:r>
        <w:rPr>
          <w:rFonts w:ascii="Calibri" w:hAnsi="Calibri"/>
          <w:b w:val="0"/>
          <w:color w:val="3A4A28"/>
          <w:sz w:val="17"/>
        </w:rPr>
        <w:t>Appian Corporation v. Pegasystems, Supreme Court of Virginia (January 2026); TechTarget, FindLaw, Bloomberg Law, Robbins Geller — Appian Litigation and Shareholder Settlements, 2022-2026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PEGA Statistics and Financials,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