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PEG</w:t>
      </w:r>
      <w:r>
        <w:rPr>
          <w:rFonts w:ascii="Calibri" w:hAnsi="Calibri"/>
          <w:b/>
          <w:color w:val="1A2010"/>
          <w:sz w:val="40"/>
        </w:rPr>
        <w:t xml:space="preserve">  Public Service Enterprise Group Incorporated</w:t>
      </w:r>
    </w:p>
    <w:p>
      <w:pPr>
        <w:spacing w:after="120"/>
      </w:pPr>
      <w:r>
        <w:rPr>
          <w:rFonts w:ascii="Calibri" w:hAnsi="Calibri"/>
          <w:b/>
          <w:color w:val="6E8450"/>
          <w:sz w:val="18"/>
        </w:rPr>
        <w:t>DIVIDEND SLEEVE · 2026-09-05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Electric Utilities · NYSE · United States</w:t>
      </w:r>
    </w:p>
    <w:p>
      <w:pPr>
        <w:spacing w:after="80"/>
      </w:pPr>
      <w:r>
        <w:rPr>
          <w:rFonts w:ascii="Calibri" w:hAnsi="Calibri"/>
          <w:b w:val="0"/>
          <w:color w:val="3A4A28"/>
          <w:sz w:val="20"/>
        </w:rPr>
        <w:t>Public Service Enterprise Group is a diversified energy company primarily operating through its regulated utility subsidiary PSE&amp;G (Public Service Electric and Gas Company) serving approximately 2.3 million electric and 1.9 million gas customers in New Jersey. PSEG also operates a nuclear generation fleet (Hope Creek and Salem stations) through PSEG Power. The company reported 2025 net income of $4.22/share and non-GAAP operating earnings of $4.05/share. 2026 guidance targets $4.28-$4.40 non-GAAP operating EPS (+7%). Data center interconnection requests surged from 400 MW to 4.7 GW. Market cap approximately $37B.</w:t>
      </w:r>
    </w:p>
    <w:p>
      <w:r>
        <w:rPr>
          <w:rFonts w:ascii="Calibri" w:hAnsi="Calibri"/>
          <w:b/>
          <w:color w:val="6E8450"/>
          <w:sz w:val="18"/>
        </w:rPr>
        <w:t>13,000 Employees · https://www.pseg.com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PSEG's data center interconnection pipeline at PSE&amp;G exploded from 400 MW to 4.7 GW in one year, and the company completed a strategic divestiture of gas and oil power plants in 2022 to focus on regulated utility and nuclear operations [1][3]. These are significant strategic adaptations to external market trends but represent positioning rather than product innovation or business model transformation. AI Deployment (0/2): No AI-powered products or services deployed. PSEG is a power generator and distributor — AI is relevant as a demand driver for electricity, not as a tool the company deploys to customers. Market Share (1/2): PSE&amp;G holds a regulated monopoly in its New Jersey service territory covering 2.3 million electric and 1.9 million gas customers [1]. The nuclear fleet provides unique positioning for data center power contracts. However, regulatory franchise means market share is granted by regulators, not competitively earned. Product Pipeline (1/2): The updated $22.5-25.5B capital program (2026-2030) supports rate base CAGR of 6-7.5% and provides infrastructure investment visibility [1]. Nuclear offtake negotiations with data center operators offer significant upside but remain in discussions without publicly signed contracts [3]. R&amp;D Intensity (0/1): Regulated utilities do not invest meaningfully in formal R&amp;D; innovation comes through capital investment in grid modernization and clean energy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PSEG's stated purpose of 'building an economically strong, environmentally responsible energy future' is clear and connects to the broader clean energy transition, but is not distinctive among utility peers — most regulated utilities articulate similar clean energy and reliability commitments [2]. Community Impact (1/2): PSEG maintains substantial ESG commitments including the net-zero 2030 climate vision, MSCI AAA ESG rating (highest tier), $8M+ in annual PSEG Foundation contributions, LGBTQ+ Inclusion Pledge, 30% diverse supplier spending, U.N. Race to Zero participation, and membership on the Dow Jones Sustainability North America Index [2]. These are meaningful but represent standard large-cap utility corporate responsibility rather than distinctive community investment. Employee Retention (0/2): No specific data on employee tenure, turnover, or workplace culture publicly available beyond general corporate statements. The company's 13,000 employees operate critical infrastructure requiring high reliability, but no retention metrics were found. Insider Buying (0/2): No evidence of meaningful net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Operating revenues of $12,168M in 2025 grew 18.25% YoY from $10,290M in 2024, driven by rate increases, higher realized energy prices, and increased capacity revenues [1]. Forward P/E of approximately 17.0x at the current $73.81 stock price and $4.34 midpoint EPS guidance is well below the 20x target [4]. D/E of 142% is typical for capital-intensive regulated utilities but above the 70% ideal (scoring 0.69). ROE of 13.44% approaches but falls short of the 15% target (scoring 0.90) [4]. Profit margin of 17.7% nears the 20% target (scoring 0.89). The dividend profile is outstanding: 100+ consecutive years of payment (well above the 10-year target with 2x weight), 15 consecutive years of growth, $2.68 annual dividend yielding 3.63% at current price, payout ratio of 56.47%, and 5-year dividend growth CAGR of 5.27% approaching the 6% target [4]. Revenue 5-year CAGR of 5.7% falls short of the 10% target. Liquidity floor easily cleared at ~$221M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PSEG is a 123-year-old company that has endured through world wars, energy crises, deregulation, and now the AI revolution — demonstrating institutional resilience aligned with infinite game thinking. The decision to divest fossil fuel plants and focus on regulated utility and nuclear operations reflects a genuine long-term strategic vision aligned with the clean energy transition. However, PSEG operates within the constraints of regulated utility incentives where capital investment and rate base growth, rather than a transformative Just Cause, drive strategic decisions. The net-zero 2030 vision and MSCI AAA ESG rating demonstrate commitment to environmental stewardship.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PSEG's purpose of building a clean, reliable energy future is validated by 123 years of continuous operation and specific strategic actions including divesting fossil fuel assets, committing to net-zero 2030, and investing $22.5-25.5B in regulated infrastructure through 2030 [1]. The nuclear fleet preservation when other utilities are decommissioning demonstrates multi-decade thinking. The purpose is genuine and connects to the larger energy transition, but is ultimately shaped by regulatory incentives and rate base growth dynamics rather than an idealistic vision independent of financial returns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PSEG's organizational structure with elevated nuclear governance — a separate President and Chief Nuclear Officer (Charles McFeaters) reporting to CEO LaRossa — reflects a safety-first culture appropriate for nuclear operations [3]. CEO Ralph LaRossa has served since 2022, providing stable recent leadership. The company's approximately 13,000 employees operate critical infrastructure requiring high reliability and safety discipline. However, no specific data on employee satisfaction, tenure, or workplace culture is publicly available beyond general corporate statements.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As a regulated utility, PSEG's competitive language appropriately focuses on serving customers, investing in infrastructure, and advancing the clean energy transition rather than defeating competitors [1]. The company's approach to data center demand emphasizes building capacity, enhancing grid reliability, and exploring utility-owned generation rather than winning market share from other utilities. CEO LaRossa is 'open to utility-owned generation to tackle supply needs' — framing the challenge as meeting societal demand rather than competitive warfare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PSEG's 2022 divestiture of gas and oil power plants to focus on regulated utility and nuclear operations was a meaningful strategic pivot — walking away from competitive generation to concentrate on regulated infrastructure and clean energy [1]. The current pivot toward data center demand and nuclear offtake represents adaptation to a transformative market opportunity. However, regulated utilities are inherently constrained in their ability to fundamentally transform — strategic flexibility operates within the regulatory framework rather than transcending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PSEG's decision to divest fossil fuel assets, commit to net-zero 2030, and invest $22.5-25.5B in infrastructure through 2030 demonstrates willingness to make substantial long-term capital commitments [1][2]. Preserving and investing in nuclear when other utilities are decommissioning shows conviction in clean baseload power's long-term value. However, these decisions are significantly de-risked by the regulated cost-recovery model — PSEG earns a guaranteed return on rate base investment, meaning the financial risk is substantially lower than similar bets for an unregulated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PSEG is a premier regulated utility uniquely positioned for the AI infrastructure buildout, now available at a more attractive valuation after pulling back to $73.81. The data center interconnection pipeline at PSE&amp;G surged from 400 MW to 4.7 GW in one year, and CEO LaRossa is actively negotiating nuclear power offtake agreements with data center operators and exploring utility-owned generation for supply needs [3]. The updated $22.5-25.5B capital program (2026-2030) supports rate base CAGR of 6-7.5%, underpinning the updated 6-8% non-GAAP earnings growth outlook through 2030 [1]. At approximately 17.0x forward earnings with a 3.63% dividend yield and 15 consecutive years of dividend increases, PSEG offers compelling total return potential for income-oriented investors. The 2025 non-GAAP operating earnings of $4.05/share with 2026 guidance of $4.28-$4.40 demonstrate steady earnings progression [1]. The MSCI AAA ESG rating and Inspire Impact Score of 49 (ALIGNED) with 18 positive attributions make PSEG highly accessible to faith-based and ESG-conscious investors [2].</w:t>
      </w:r>
    </w:p>
    <w:p>
      <w:pPr>
        <w:spacing w:after="120"/>
      </w:pPr>
      <w:r>
        <w:rPr>
          <w:rFonts w:ascii="Calibri" w:hAnsi="Calibri"/>
          <w:b w:val="0"/>
          <w:color w:val="3A4A28"/>
          <w:sz w:val="20"/>
        </w:rPr>
        <w:t>The bear case centers on the gap between pipeline interest and contracted revenue, plus inherent utility growth limitations. The 4.7 GW interconnection pipeline represents interest, not binding contracts — actual signed agreements for nuclear offtake have yet to materialize publicly, and if hyperscale demand shifts to regions with cheaper land and power, the AI growth narrative deflates [3]. D/E of 142% is typical for utilities but limits financial flexibility, and the $22.5-25.5B capital plan requires continued access to capital markets at favorable rates — rising interest rates would compress equity returns and increase financing costs [4]. ROE of 13.44% is capped by regulatory rate structures below the 15% target, limiting upside even in bull scenarios and creating vulnerability to unfavorable rate case outcomes in New Jersey. The 5-year revenue CAGR of 5.7% and payout ratio of 56.47% reflect the inherent constraints of the regulated model — even the AI tailwind must flow through the slow regulated capital investment and rate case cycle [1]. Revenue growth of 18.25% in 2025 was partly driven by rate case timing and energy market conditions that may not repeat.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Signing of initial nuclear offtake agreements with data center operators would de-risk the 4.7 GW pipeline and provide long-duration revenue visibility exceeding current rate case cycles — CEO LaRossa confirmed active negotiations [3]</w:t>
      </w:r>
    </w:p>
    <w:p>
      <w:pPr>
        <w:spacing w:before="40" w:after="40"/>
        <w:ind w:left="283"/>
      </w:pPr>
      <w:r>
        <w:rPr>
          <w:rFonts w:ascii="Calibri" w:hAnsi="Calibri"/>
          <w:b/>
          <w:color w:val="4A6B25"/>
          <w:sz w:val="20"/>
        </w:rPr>
        <w:t xml:space="preserve">2. </w:t>
      </w:r>
      <w:r>
        <w:rPr>
          <w:rFonts w:ascii="Calibri" w:hAnsi="Calibri"/>
          <w:b w:val="0"/>
          <w:color w:val="3A4A28"/>
          <w:sz w:val="20"/>
        </w:rPr>
        <w:t>Rate base CAGR of 6-7.5% through 2030 driven by the updated $22.5-25.5B regulated capital program supports continued earnings growth of 6-8% independent of data center upside [1]</w:t>
      </w:r>
    </w:p>
    <w:p>
      <w:pPr>
        <w:spacing w:before="40" w:after="40"/>
        <w:ind w:left="283"/>
      </w:pPr>
      <w:r>
        <w:rPr>
          <w:rFonts w:ascii="Calibri" w:hAnsi="Calibri"/>
          <w:b/>
          <w:color w:val="4A6B25"/>
          <w:sz w:val="20"/>
        </w:rPr>
        <w:t xml:space="preserve">3. </w:t>
      </w:r>
      <w:r>
        <w:rPr>
          <w:rFonts w:ascii="Calibri" w:hAnsi="Calibri"/>
          <w:b w:val="0"/>
          <w:color w:val="3A4A28"/>
          <w:sz w:val="20"/>
        </w:rPr>
        <w:t>Stock pullback to $73.81 from prior highs creates a more attractive entry point at ~17x forward earnings with 3.63% yield — potential re-rating if data center contracts materialize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The 4.7 GW data center interconnection pipeline reflects interest, not contracts — if hyperscale demand shifts to regions with cheaper land and power, or if nuclear offtake negotiations stall on pricing and regulatory approvals, the AI growth narrative deflates significantly [3]</w:t>
      </w:r>
    </w:p>
    <w:p>
      <w:pPr>
        <w:spacing w:before="40" w:after="40"/>
        <w:ind w:left="283"/>
      </w:pPr>
      <w:r>
        <w:rPr>
          <w:rFonts w:ascii="Calibri" w:hAnsi="Calibri"/>
          <w:b/>
          <w:color w:val="4A6B25"/>
          <w:sz w:val="20"/>
        </w:rPr>
        <w:t xml:space="preserve">2. </w:t>
      </w:r>
      <w:r>
        <w:rPr>
          <w:rFonts w:ascii="Calibri" w:hAnsi="Calibri"/>
          <w:b w:val="0"/>
          <w:color w:val="3A4A28"/>
          <w:sz w:val="20"/>
        </w:rPr>
        <w:t>Regulated utility model inherently caps ROE at levels set by rate commissions (currently approximately 13.44%), limiting upside even in bull scenarios and creating vulnerability to unfavorable rate case outcomes in New Jersey [4]</w:t>
      </w:r>
    </w:p>
    <w:p>
      <w:pPr>
        <w:spacing w:before="40" w:after="40"/>
        <w:ind w:left="283"/>
      </w:pPr>
      <w:r>
        <w:rPr>
          <w:rFonts w:ascii="Calibri" w:hAnsi="Calibri"/>
          <w:b/>
          <w:color w:val="4A6B25"/>
          <w:sz w:val="20"/>
        </w:rPr>
        <w:t xml:space="preserve">3. </w:t>
      </w:r>
      <w:r>
        <w:rPr>
          <w:rFonts w:ascii="Calibri" w:hAnsi="Calibri"/>
          <w:b w:val="0"/>
          <w:color w:val="3A4A28"/>
          <w:sz w:val="20"/>
        </w:rPr>
        <w:t>D/E of 142% and the $22.5-25.5B capital plan require continued access to capital markets at favorable rates; sustained higher interest rates would compress equity returns and increase financing costs for the regulated investment program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PSEG operates essential physical infrastructure — electricity generation, transmission, and distribution — that AI structurally cannot displace [1]. Moreover, AI is a massive demand accelerator for PSEG's business: data center interconnection requests at PSE&amp;G surged from 400 MW to 4.7 GW in one year as AI buildout drives unprecedented electricity demand growth [3]. PSEG's nuclear fleet (Hope Creek and Salem) provides 24/7 carbon-free baseload power that is uniquely valued by data center operators seeking clean energy commitments. CEO LaRossa confirmed active negotiations to sell nuclear power directly to data centers, and PSEG is exploring utility-owned generation to address supply needs [3]. Every AI model trained and every inference run requires electricity — PSEG is a picks-and-shovels beneficiary of the AI revolution. AI Opportunity (1/1): PSEG is actively pursuing AI-driven data center power sales with 4.7 GW of advanced interconnection requests representing direct AI-driven revenue potential valued in the billions over multi-decade contract lifetimes [3]. CEO LaRossa specifically identified data center demand as a core growth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PSEG 2025 Full Year Results and 2026 Guidance — Non-GAAP Operating Earnings $4.05/share, 2026 Guidance $4.28-$4.40, Revenue $12.2B (+18.25%), Capital Plan $22.5-25.5B, Rate Base CAGR 6-7.5% — SEC 8-K, investor.pseg.com, February 2026</w:t>
      </w:r>
    </w:p>
    <w:p>
      <w:pPr>
        <w:spacing w:before="20" w:after="20"/>
        <w:ind w:left="170"/>
      </w:pPr>
      <w:r>
        <w:rPr>
          <w:rFonts w:ascii="Calibri" w:hAnsi="Calibri"/>
          <w:b/>
          <w:color w:val="4A6B25"/>
          <w:sz w:val="15"/>
        </w:rPr>
        <w:t xml:space="preserve">2. </w:t>
      </w:r>
      <w:r>
        <w:rPr>
          <w:rFonts w:ascii="Calibri" w:hAnsi="Calibri"/>
          <w:b w:val="0"/>
          <w:color w:val="3A4A28"/>
          <w:sz w:val="17"/>
        </w:rPr>
        <w:t>PSEG ESG and Sustainability — MSCI AAA Rating, Net-Zero 2030 Vision, $8M+ Foundation, LGBTQ+ Inclusion, 30% Diverse Suppliers, Dow Jones Sustainability Index — corporate.pseg.com, investor.pseg.com, 2021-2026</w:t>
      </w:r>
    </w:p>
    <w:p>
      <w:pPr>
        <w:spacing w:before="20" w:after="20"/>
        <w:ind w:left="170"/>
      </w:pPr>
      <w:r>
        <w:rPr>
          <w:rFonts w:ascii="Calibri" w:hAnsi="Calibri"/>
          <w:b/>
          <w:color w:val="4A6B25"/>
          <w:sz w:val="15"/>
        </w:rPr>
        <w:t xml:space="preserve">3. </w:t>
      </w:r>
      <w:r>
        <w:rPr>
          <w:rFonts w:ascii="Calibri" w:hAnsi="Calibri"/>
          <w:b w:val="0"/>
          <w:color w:val="3A4A28"/>
          <w:sz w:val="17"/>
        </w:rPr>
        <w:t>PSEG CEO LaRossa Data Center and Nuclear Strategy — 4.7 GW Pipeline (up from 400 MW), Nuclear Offtake Negotiations, Utility-Owned Generation — Utility Dive, Power Engineering,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Yahoo Finance — PEG Key Statistics: Stock Price $73.81, Forward P/E ~17.0x, D/E 142%, ROE 13.44%, Profit Margin 17.7%, Dividend Yield 3.63%,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