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PFE</w:t>
      </w:r>
      <w:r>
        <w:rPr>
          <w:rFonts w:ascii="Calibri" w:hAnsi="Calibri"/>
          <w:b/>
          <w:color w:val="1A2010"/>
          <w:sz w:val="40"/>
        </w:rPr>
        <w:t xml:space="preserve">  Pfizer Inc.</w:t>
      </w:r>
    </w:p>
    <w:p>
      <w:pPr>
        <w:spacing w:after="120"/>
      </w:pPr>
      <w:r>
        <w:rPr>
          <w:rFonts w:ascii="Calibri" w:hAnsi="Calibri"/>
          <w:b/>
          <w:color w:val="6E8450"/>
          <w:sz w:val="18"/>
        </w:rPr>
        <w:t>DIVIDEND SLEEVE · 2026-10-02 · Inspire: -93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General · NYQ · United States</w:t>
      </w:r>
    </w:p>
    <w:p>
      <w:pPr>
        <w:spacing w:after="80"/>
      </w:pPr>
      <w:r>
        <w:rPr>
          <w:rFonts w:ascii="Calibri" w:hAnsi="Calibri"/>
          <w:b w:val="0"/>
          <w:color w:val="3A4A28"/>
          <w:sz w:val="20"/>
        </w:rPr>
        <w:t>Pfizer is a global biopharmaceutical company focused on oncology, immunology, rare diseases, and vaccines. Following the COVID-era revenue peak ($100B+ in FY2022), Pfizer has pivoted toward oncology leadership through the $43B Seagen acquisition (ADC platform) and is advancing obesity and other pipeline programs. Q2 2026 showed 18% operational growth from launched and acquired products, and the company raised FY2026 revenue guidance to $60.5-$62.5B with adjusted EPS of $2.80-$3.00. CEO Albert Bourla has made AI central to Pfizer's drug discovery and manufacturing strategy.</w:t>
      </w:r>
    </w:p>
    <w:p>
      <w:r>
        <w:rPr>
          <w:rFonts w:ascii="Calibri" w:hAnsi="Calibri"/>
          <w:b/>
          <w:color w:val="6E8450"/>
          <w:sz w:val="18"/>
        </w:rPr>
        <w:t>75,000 Employees · https://www.pfizer.com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Pfizer delivered the BNT162b2 COVID vaccine in record time (under one year), generating peak combined COVID revenue exceeding $56B, followed by the transformative $43B Seagen acquisition (closed December 2023) that repositioned Pfizer as an oncology leader with a best-in-class antibody-drug conjugate platform [1]. Q2 2026 launched and acquired products grew 18% operationally. However, COVID franchise revenue has declined sharply from peak, and Pfizer was late to the GLP-1 obesity opportunity compared to Eli Lilly and Novo Nordisk. AI Deployment (2/2): Pfizer has deployed AI at scale — supercomputing and AI reduced computational discovery times by 80-90%, the Digital Operations Center and AI-powered manufacturing processes increased throughput by 20%, and CEO Bourla has declared the ambition to be 'the most AI-forward company in the industry' [2]. These are specific, quantified internal efficiency gains. Market Share (1/2): Pfizer is a top-5 global pharmaceutical company with leadership in oncology ADCs (via Seagen), vaccines, and rare diseases, but faces intense competition from Eli Lilly, Novo Nordisk (obesity), Roche, and AstraZeneca (oncology) and does not dominate any single therapeutic category [1]. Product Pipeline (1/2): On track to start approximately 20 key pivotal studies in 2026, with several Phase 3 readouts expected over the next 12 months, particularly in oncology and obesity [1]. However, specific named products with launch dates and revenue visibility remain limited beyond general pipeline descriptions. R&amp;D Intensity (1/1): R&amp;D investment of $5.3B in H1 2026 alone (~17% of revenue annualized) is well above the pharmaceutical industry average, reflecting heavy investment in post-COVID pipeline rebuild.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Pfizer's purpose — 'Breakthroughs that change patients' lives' — is specific, thoughtful, and was powerfully validated by the COVID-19 vaccine development, where Pfizer invested billions at-risk before knowing the science would work [1][2]. CEO Bourla's Purpose Blueprint with four values (Courage, Excellence, Equity, Joy) is distinctive and integrated into strategic decisions. The mission differentiates Pfizer from peers and shapes resource allocation. However, the purpose has not survived a leadership transition — Bourla has led since 2019 — and post-COVID cost-cutting suggests financial priorities can override the cause when revenue declines. Community Impact (1/2): Pfizer's Accord for a Healthier World provides medicines at not-for-profit prices to 45 lower-income countries, and the company ranks highly on the Access to Medicine Index [3]. Environmental commitment to net-zero by 2040 with SBTi-validated targets. These are genuine and distinctive, though investor scrutiny of drug pricing and patent policies creates tension with the access mission. Employee Retention (0/2): No specific retention or tenure data was found. Significant post-COVID restructuring and headcount reductions from 83,000 to 75,000 employees are negative signals for organizational stability. Insider Buying (0/2): No evidence of meaningful net insider buying by CEO Bourla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GAAP metrics are significantly distorted by Seagen acquisition amortization, COVID inventory writedowns, and restructuring charges — GAAP EPS of $0.76 vs adjusted EPS guidance of $2.80-$3.00 [1]. D/E of 74.3% is near the 70% target (score 0.98), reflecting $63.5B debt largely from the Seagen acquisition against $11.7B cash. Forward P/E of 9.71 is well below the 20 target (score 1.0). However, GAAP ROE of 5.0% (score 0.33) and GAAP profit margin of 6.8% (score 0.34) are severely depressed by non-cash charges. Revenue growth of 2.6% YoY (score 0.75) reflects the post-COVID normalization, and the 5-year revenue CAGR of approximately -5.4% (FY2021 $81.3B to FY2026 guided $61.5B) scores at the floor due to the COVID revenue cliff. Dividend metrics are anchored by 125+ consecutive years paid (score 1.0, 2x weight) and 15 consecutive years of growth (score 1.0), but the 5-year dividend growth CAGR of only 2.0% (score 0.33, 2x weight) and GAAP payout ratio of 226% (score 0.0) reflect the mismatch between conservative dividend raises and volatile GAAP earnings. Daily dollar volume of approximately $1.0B provides maximum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Pfizer demonstrates mixed infinite-game characteristics. The 'Breakthroughs that change patients' lives' mission was powerfully validated during COVID when the company invested billions at-risk to develop a vaccine in record time, saving millions of lives — a genuine Just Cause moment. The $43B Seagen acquisition shows willingness to make bold long-term bets. However, the post-COVID era has been marked by significant cost-cutting, restructuring, and headcount reduction from 83,000 to 75,000 employees — pragmatic financial optimization that reflects finite-game thinking. The 175-year history demonstrates institutional durability, but the current strategic posture prioritizes rebuilding earnings after the COVID cliff over advancing a cause.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'Breakthroughs that change patients' lives' was validated by the COVID vaccine — a genuine Just Cause moment where Pfizer invested billions before knowing the science would work, refused government R&amp;D funding (maintaining independence), and delivered a vaccine in under a year [1][2]. CEO Bourla's leadership during COVID demonstrated personal commitment to the mission. The Accord for a Healthier World extends this cause to 45 lower-income countries [3]. However, the mission has not survived a leadership transition, the post-COVID cost-cutting suggests financial priorities can override the cause, and drug pricing controversies create tension with the patient access mission.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Pfizer maintains a research-oriented workforce with deep scientific expertise, and the company's ability to mobilize thousands of employees for the COVID vaccine program suggests organizational trust during crisis [1]. CEO Bourla's Purpose Blueprint with values of Courage, Excellence, Equity, and Joy provides a cultural framework [2]. However, post-COVID restructuring reduced headcount from 83,000 to 75,000, undermining trust. No specific employee satisfaction, turnover, or tenure data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commentary explicitly referencing learning from competitors like Eli Lilly, Novo Nordisk, or AstraZeneca, or framing competition as motivation for self-improvement. Pfizer's competitive language in earnings calls focuses on its own pipeline execution and market positioning. The late entry to the GLP-1/obesity market (years behind Eli Lilly and Novo Nordisk) without public acknowledgment of rivals' superior positioning suggests a finite competitive orientation.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Pfizer has reshaped its portfolio significantly — spinning off Upjohn (generics) into Viatris, divesting consumer health into the GSK Haleon JV, pivoting to mRNA during COVID, and transforming its oncology franchise through the $43B Seagen acquisition [1]. Each move redirected toward higher-value biopharma. However, these were incremental portfolio rotations common in big pharma, not the transformative self-reinvention Sinek celebrates — Pfizer remains fundamentally the same business (discovering, developing, selling drugs) through each transition.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COVID vaccine investment was genuinely courageous — Pfizer invested billions in development before results were known, refused Operation Warp Speed R&amp;D funding to maintain independence, and manufactured at-risk before approval [1][2]. The $43B Seagen acquisition was a bold bet when the balance sheet was already stretched. However, the post-COVID period has been characterized by cost-cutting, restructuring, and headcount reduction rather than courageous investment in new capabilities, suggesting the COVID-era courage was situational rather than systematic.</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Pfizer at $28.12 (9.71x forward earnings) with a 6.12% dividend yield offers deep value entry into a recovering pharma franchise — FY2026 guidance was raised to $60.5-$62.5B revenue with adjusted EPS of $2.80-$3.00, driven by 18% operational growth from launched and acquired products in Q2 2026 [1]. The $43B Seagen acquisition positions Pfizer as an oncology ADC leader with a differentiated platform generating near-term revenue and a multi-year pipeline of expanded indications. AI-driven drug discovery (80-90% computational time reduction, 20% manufacturing throughput increase) is systematically reducing R&amp;D costs and timelines [2]. The 125-year consecutive dividend payment history and 15 consecutive years of growth demonstrate extraordinary income durability, while Forward PE of 9.71x prices in significant pessimism that creates asymmetric upside if oncology and obesity programs deliver.</w:t>
      </w:r>
    </w:p>
    <w:p>
      <w:pPr>
        <w:spacing w:after="120"/>
      </w:pPr>
      <w:r>
        <w:rPr>
          <w:rFonts w:ascii="Calibri" w:hAnsi="Calibri"/>
          <w:b w:val="0"/>
          <w:color w:val="3A4A28"/>
          <w:sz w:val="20"/>
        </w:rPr>
        <w:t>The bear case centers on the post-COVID revenue crater, GAAP metric distortion, and pipeline execution risk. The 5-year revenue CAGR of -5.4% (from $81.3B in FY2021 to $61.5B guided for FY2026) reflects a company still recovering from the COVID cliff, and FY2026 guidance of $60.5-$62.5B is roughly flat to slightly below FY2025's $62.6B [1]. GAAP ROE of 5.0%, profit margin of 6.8%, and payout ratio of 226% are severely depressed by Seagen acquisition amortization, COVID writedowns, and restructuring charges — these GAAP distortions drag the Infrastructure score to 6 despite adjusted earnings being substantially healthier. The dividend growth CAGR of only 2% ($0.04/year increases from $0.39 to $0.43/quarter over 5 years) signals management's lack of confidence in sustained earnings acceleration. Pfizer was late to the GLP-1 obesity opportunity (years behind Eli Lilly and Novo Nordisk), and pipeline catalysts must overcome significant first-mover disadvantage [1]. The Inspire Impact Score of -93 (MISALIGNED) — flagged for abortifacients, abortion activism, embryonic stem cells, and LGBT activism — severely limits allocation for faith-based investors despite strong healthcare access programs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Seagen-derived ADC oncology portfolio driving 18% operational growth from launched and acquired products in Q2 2026, with approximately 20 key pivotal studies on track in 2026 and multiple Phase 3 readouts expected over the next 12 months in oncology and obesity [1]</w:t>
      </w:r>
    </w:p>
    <w:p>
      <w:pPr>
        <w:spacing w:before="40" w:after="40"/>
        <w:ind w:left="283"/>
      </w:pPr>
      <w:r>
        <w:rPr>
          <w:rFonts w:ascii="Calibri" w:hAnsi="Calibri"/>
          <w:b/>
          <w:color w:val="4A6B25"/>
          <w:sz w:val="20"/>
        </w:rPr>
        <w:t xml:space="preserve">2. </w:t>
      </w:r>
      <w:r>
        <w:rPr>
          <w:rFonts w:ascii="Calibri" w:hAnsi="Calibri"/>
          <w:b w:val="0"/>
          <w:color w:val="3A4A28"/>
          <w:sz w:val="20"/>
        </w:rPr>
        <w:t>Obesity program advancing with encouraging mid-stage results — successful Phase 3 data could open access to the $100B+ GLP-1/obesity market and re-rate PFE from value trap to growth pharma [1]</w:t>
      </w:r>
    </w:p>
    <w:p>
      <w:pPr>
        <w:spacing w:before="40" w:after="40"/>
        <w:ind w:left="283"/>
      </w:pPr>
      <w:r>
        <w:rPr>
          <w:rFonts w:ascii="Calibri" w:hAnsi="Calibri"/>
          <w:b/>
          <w:color w:val="4A6B25"/>
          <w:sz w:val="20"/>
        </w:rPr>
        <w:t xml:space="preserve">3. </w:t>
      </w:r>
      <w:r>
        <w:rPr>
          <w:rFonts w:ascii="Calibri" w:hAnsi="Calibri"/>
          <w:b w:val="0"/>
          <w:color w:val="3A4A28"/>
          <w:sz w:val="20"/>
        </w:rPr>
        <w:t>Forward PE of 9.71x represents deep pessimism priced in — any positive pipeline surprise (obesity data, ADC indication expansions, or successful new launches) could drive significant multiple expansion from value levels, with 125-year dividend history providing downside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revenue guidance of $60.5-$62.5B is roughly flat to FY2025's $62.6B, and the 5-year revenue CAGR of -5.4% reflects a company still rebuilding from the COVID cliff — excluding Seagen acquisition revenue, the organic growth trajectory remains uncertain against ongoing patent expirations [1]</w:t>
      </w:r>
    </w:p>
    <w:p>
      <w:pPr>
        <w:spacing w:before="40" w:after="40"/>
        <w:ind w:left="283"/>
      </w:pPr>
      <w:r>
        <w:rPr>
          <w:rFonts w:ascii="Calibri" w:hAnsi="Calibri"/>
          <w:b/>
          <w:color w:val="4A6B25"/>
          <w:sz w:val="20"/>
        </w:rPr>
        <w:t xml:space="preserve">2. </w:t>
      </w:r>
      <w:r>
        <w:rPr>
          <w:rFonts w:ascii="Calibri" w:hAnsi="Calibri"/>
          <w:b w:val="0"/>
          <w:color w:val="3A4A28"/>
          <w:sz w:val="20"/>
        </w:rPr>
        <w:t>Late entry to the GLP-1/obesity market years behind Eli Lilly (Mounjaro/Zepbound) and Novo Nordisk (Ozempic/Wegovy) means Pfizer must demonstrate differentiation in a crowded area where physician familiarity and patient brand loyalty already favor established players [1]</w:t>
      </w:r>
    </w:p>
    <w:p>
      <w:pPr>
        <w:spacing w:before="40" w:after="40"/>
        <w:ind w:left="283"/>
      </w:pPr>
      <w:r>
        <w:rPr>
          <w:rFonts w:ascii="Calibri" w:hAnsi="Calibri"/>
          <w:b/>
          <w:color w:val="4A6B25"/>
          <w:sz w:val="20"/>
        </w:rPr>
        <w:t xml:space="preserve">3. </w:t>
      </w:r>
      <w:r>
        <w:rPr>
          <w:rFonts w:ascii="Calibri" w:hAnsi="Calibri"/>
          <w:b w:val="0"/>
          <w:color w:val="3A4A28"/>
          <w:sz w:val="20"/>
        </w:rPr>
        <w:t>GAAP metrics severely distorted by Seagen amortization and restructuring charges — ROE of 5.0% and profit margin of 6.8% mask the underlying business quality, but $63.5B in total debt against $11.7B cash creates a leveraged balance sheet that limits financial flexibility during the pipeline rebuild phase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Pharmaceutical development is structurally protected from AI disruption — the core business requires physical clinical trials (Phase I-III spanning years), FDA regulatory approval, large-scale GMP manufacturing of complex biological and chemical compounds, and global distribution infrastructure that AI cannot replace [2]. Pfizer's moats include 175+ years of regulatory relationships, manufacturing expertise, and patent portfolios. AI enhances drug discovery (Pfizer has demonstrated 80-90% time reduction in computational screening) but does not eliminate the years-long development, testing, and approval process that follows. The primary AI exposure is indirect: AI could empower smaller biotech competitors to identify drug targets faster, increasing competitive pressure on pipeline investments. However, capital requirements for late-stage trials ($1B+ per drug) and global manufacturing create barriers that AI alone cannot overcome. AI Opportunity (0/1): Pfizer uses AI extensively for internal drug discovery and manufacturing efficiency (20% throughput increase, 80-90% computational time savings) but does not sell AI products or services [2]. The revenue comes from drugs developed using AI tools, not from AI itself.</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-93</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Abortifacients </w:t>
      </w:r>
      <w:r>
        <w:rPr>
          <w:rFonts w:ascii="Calibri" w:hAnsi="Calibri"/>
          <w:b w:val="0"/>
          <w:color w:val="9DAF88"/>
          <w:sz w:val="17"/>
        </w:rPr>
        <w:t xml:space="preserve">  ·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Embryonic Stem Cells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Pfizer Q2 2026 Earnings and FY2026 Guidance — Launched Products +18% Operational Growth, Revenue Guidance Raised to $60.5-$62.5B, Adjusted EPS $2.80-$3.00, ~20 Pivotal Studies in 2026 — BusinessWire, BioSpace, TIKR, August 2026</w:t>
      </w:r>
    </w:p>
    <w:p>
      <w:pPr>
        <w:spacing w:before="20" w:after="20"/>
        <w:ind w:left="170"/>
      </w:pPr>
      <w:r>
        <w:rPr>
          <w:rFonts w:ascii="Calibri" w:hAnsi="Calibri"/>
          <w:b/>
          <w:color w:val="4A6B25"/>
          <w:sz w:val="15"/>
        </w:rPr>
        <w:t xml:space="preserve">2. </w:t>
      </w:r>
      <w:r>
        <w:rPr>
          <w:rFonts w:ascii="Calibri" w:hAnsi="Calibri"/>
          <w:b w:val="0"/>
          <w:color w:val="3A4A28"/>
          <w:sz w:val="17"/>
        </w:rPr>
        <w:t>Pfizer AI Strategy and Leadership — CEO Bourla AI Vision, 80-90% Computational Time Reduction, 20% Manufacturing Throughput, Purpose Blueprint, Most AI-Forward Ambition — Atlantic Council, CNBC, Pfizer.com, 2025-2026</w:t>
      </w:r>
    </w:p>
    <w:p>
      <w:pPr>
        <w:spacing w:before="20" w:after="20"/>
        <w:ind w:left="170"/>
      </w:pPr>
      <w:r>
        <w:rPr>
          <w:rFonts w:ascii="Calibri" w:hAnsi="Calibri"/>
          <w:b/>
          <w:color w:val="4A6B25"/>
          <w:sz w:val="15"/>
        </w:rPr>
        <w:t xml:space="preserve">3. </w:t>
      </w:r>
      <w:r>
        <w:rPr>
          <w:rFonts w:ascii="Calibri" w:hAnsi="Calibri"/>
          <w:b w:val="0"/>
          <w:color w:val="3A4A28"/>
          <w:sz w:val="17"/>
        </w:rPr>
        <w:t>Pfizer ESG and Social Impact — Accord for a Healthier World (45 Countries), Net-Zero by 2040, SBTi Targets, Drug Pricing Scrutiny, Human Rights Proposal — Sustainability Magazine, Governance Intelligence, S&amp;P Global,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