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PHM</w:t>
      </w:r>
      <w:r>
        <w:rPr>
          <w:rFonts w:ascii="Calibri" w:hAnsi="Calibri"/>
          <w:b/>
          <w:color w:val="1A2010"/>
          <w:sz w:val="40"/>
        </w:rPr>
        <w:t xml:space="preserve">  PulteGroup, Inc.</w:t>
      </w:r>
    </w:p>
    <w:p>
      <w:pPr>
        <w:spacing w:after="120"/>
      </w:pPr>
      <w:r>
        <w:rPr>
          <w:rFonts w:ascii="Calibri" w:hAnsi="Calibri"/>
          <w:b/>
          <w:color w:val="6E8450"/>
          <w:sz w:val="18"/>
        </w:rPr>
        <w:t>GROWTH SLEEVE · 2026-09-15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Residential Construction · NYSE · United States</w:t>
      </w:r>
    </w:p>
    <w:p>
      <w:pPr>
        <w:spacing w:after="80"/>
      </w:pPr>
      <w:r>
        <w:rPr>
          <w:rFonts w:ascii="Calibri" w:hAnsi="Calibri"/>
          <w:b w:val="0"/>
          <w:color w:val="3A4A28"/>
          <w:sz w:val="20"/>
        </w:rPr>
        <w:t>PulteGroup is the third-largest homebuilder in the United States, operating through three brands: Pulte Homes (move-up buyers), Del Webb (active adult/55+), and Centex (entry-level). Founded in 1950 by Bill Pulte, the company builds in 26 states and has closed over 750,000 homes. Q2 2026 home sale revenues decreased 11% to $3.8B on 8% lower closings and 3% lower ASP amid elevated mortgage rates, though net new orders rose 3% YoY to 8,034 homes ($4.6B). Full-year 2026 consensus: revenue $16.58B, EPS $10.12.</w:t>
      </w:r>
    </w:p>
    <w:p>
      <w:r>
        <w:rPr>
          <w:rFonts w:ascii="Calibri" w:hAnsi="Calibri"/>
          <w:b/>
          <w:color w:val="6E8450"/>
          <w:sz w:val="18"/>
        </w:rPr>
        <w:t>7,800 Employees · https://www.pultegroupinc.com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PulteGroup has made incremental product extensions over the past 5 years — expanding Del Webb active adult communities into new markets, launching build-to-rent offerings, and refining its three-brand strategy — but these represent evolutionary expansion of the same homebuilding model, not transformative pivots or new product categories [1]. AI Deployment (0/2): PulteGroup partnered with SitecoreAI for personalized marketing content and customer engagement, but no AI-powered products are shipping to homebuyers, and no specific AI-driven cost savings or revenue gains have been quantified [2]. Market Share (1/2): PulteGroup is the #3 U.S. homebuilder by closings behind D.R. Horton and Lennar, a meaningful player with stable share across 26 states. Net new orders rose 3% YoY in Q2 2026 to 8,034 homes, with Florida orders up 18%, showing regional resilience [1]. Product Pipeline (0/2): PulteGroup maintains a standard land pipeline with approximately 230,000 lots owned or controlled, but no next-generation products or construction technologies with specific timelines have been announced. R&amp;D Intensity (0/1): Homebuilders invest minimally in R&amp;D relative to revenue; PulteGroup has no reported R&amp;D line item, consistent with the industry norm of process improvement over product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PulteGroup's stated purpose — 'Building incredible places where people can live their dreams' — is clear about what the company does but is not distinctive among homebuilders, all of whom claim to help people achieve their homeownership dreams [3]. The three-brand strategy (Pulte, Del Webb, Centex) serving different life stages shows intentional market segmentation but does not articulate a deeper purpose beyond selling homes. Community Impact (1/2): PulteGroup's Built to Honor program has donated 80+ mortgage-free homes to military veterans and families of fallen or injured service members — a distinctive, aligned community initiative. The company also committed to building energy-efficient homes and earned ENERGY STAR certifications, though specific dollar amounts for charitable giving were not identified [3]. Employee Retention (2/2): PulteGroup earned 2026-2027 Great Place to Work certification with exceptional metrics: 97% of employees felt welcome, 95% said management is honest and ethical in business practices, and the company maintains a 4.0+ Glassdoor rating with 80% of employees recommending it as a workplace [2]. CEO Ryan Marshall has led since 2016 with a focus on employee engagement.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PulteGroup's standout metric is its fortress balance sheet with D/E of just 19.1% — among the lowest in homebuilding — providing substantial flexibility to acquire land and invest through the current rate-elevated downturn [1][5]. Forward P/E of 10.6x is well below the 20x target, reflecting homebuilder cyclical discount. ROE of 14.9% narrowly misses the 15% target, compressed by the current revenue decline [1]. The primary drags are YoY revenue decline of 9.6% (Q1 down 12%, Q2 down 11%, driven by lower closings and ASP amid elevated mortgage rates) and modest profit margin of 11.6% (below the 20% target), reflecting the capital-intensive nature of homebuilding [1]. Five-year revenue CAGR of ~3.5% falls well short of the 10% target. PEG of ~1.5 is above the 1.0 target but reasonable for a cyclical business. Liquidity easily cleared: 1.67M avg volume x $118.94 = ~$199M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PulteGroup demonstrates meaningful infinite game characteristics rooted in its 76-year history of building homes across life stages. The three-brand strategy (Centex, Pulte, Del Webb) serving entry-level through retirement reflects a lifecycle-oriented approach, and the Great Place to Work certification with 97% employee welcome rate shows genuine organizational trust. CEO Ryan Marshall's 10-year tenure provides stability. However, the company's purpose remains tied to homebuilding without a transcendent Just Cause, and the cyclical nature of housing creates short-term earnings pressure that can override long-term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PulteGroup has maintained a consistent purpose around homebuilding for 76 years since founder Bill Pulte built his first home in 1950. The three-brand lifecycle approach — Centex for first-time buyers, Pulte Homes for move-up, Del Webb for active adults — shows purpose-driven market segmentation that serves people at every life stage [1]. The Built to Honor program donating 80+ homes to veterans connects the company's core competency to community service [3]. Strategic decisions trace back to this purpose. However, the cause has not required the kind of existential test (abandoning a profitable business line, pivoting through disruption) that would validate it as a true Sinek Just Cause.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PulteGroup earned 2026-2027 Great Place to Work certification with exceptionally strong metrics: 97% of employees felt welcome when joining, 95% said management is honest and ethical, and 80% recommend the company on Glassdoor with a 4.0+ overall rating [2]. CEO Ryan Marshall has publicly emphasized employee engagement as a strategic priority and maintained leadership continuity with a stable executive team during a challenging housing cycle. These metrics are materially above construction industry norms and indicate genuine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PulteGroup's competitive language focuses on market positioning and brand differentiation rather than acknowledging rivals' strengths. The company consistently emphasizes its unique three-brand strategy as superior positioning without referencing what D.R. Horton's scale advantages or Lennar's technology investments teach them. No management commentary was found framing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PulteGroup has evolved from a single-brand homebuilder to a three-brand platform serving distinct demographic segments, and has recently expanded into build-to-rent to adapt to affordability challenges [1]. The company has also shifted geographic focus toward high-growth Sun Belt markets. These are meaningful but incremental adaptations to market conditions, not transformative reinventions. The core business model — buy land, build homes, sell homes — is unchanged in 76 years.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Ryan Marshall maintained investment in land acquisition and community development through the 2022-2024 mortgage rate spike when many peers pulled back, positioning PulteGroup with ~230,000 lots owned or controlled for the eventual recovery [1]. The company also invested in its three-brand strategy rather than consolidating to a single brand for cost efficiency. However, these represent standard cyclical positioning for a well-managed homebuilder, not the kind of costly long-term bets that define pattern-of-courage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PulteGroup at 10.6x forward earnings with just 19% D/E offers a high-quality cyclical value play — the third-largest U.S. homebuilder with $23B market cap trades at a significant discount to the market while maintaining one of the strongest balance sheets in the industry [1][5]. Net new orders rose 3% YoY in Q2 2026 to 8,034 homes ($4.6B), with Florida orders surging 18%, signaling early demand recovery even amid elevated mortgage rates [1]. The three-brand strategy (Centex, Pulte, Del Webb) provides diversified exposure across first-time, move-up, and active adult demographics, with Del Webb positioned to benefit from accelerating Baby Boomer downsizing. ROE of 14.9% on minimal leverage suggests substantial earnings upside when the housing cycle turns and ASPs stabilize. Inspire Impact Score of 45 (ALIGNED) with no negative attributions makes this accessible for faith-based investors.</w:t>
      </w:r>
    </w:p>
    <w:p>
      <w:pPr>
        <w:spacing w:after="120"/>
      </w:pPr>
      <w:r>
        <w:rPr>
          <w:rFonts w:ascii="Calibri" w:hAnsi="Calibri"/>
          <w:b w:val="0"/>
          <w:color w:val="3A4A28"/>
          <w:sz w:val="20"/>
        </w:rPr>
        <w:t>The bear case centers on cyclical headwinds and margin compression. Q2 2026 home sale revenues declined 11% YoY on 8% lower closings and 3% lower ASP, and full-year consensus of $16.58B implies continued contraction from FY2025 [1]. Earnings are down 18% YoY with profit margin at 11.6%, and mortgage rates above 6.5% continue to suppress demand, particularly for entry-level Centex buyers. The 5-year revenue CAGR of ~3.5% reflects the cyclical volatility — PulteGroup's topline is essentially flat over a full cycle. If mortgage rates remain elevated through 2027, the housing recovery thesis delays further, and land carrying costs increase. The shareholder activism on climate commitments (Paris Agreement compliance) creates ESG governance risk, and the residential building sector's contribution of 20% of U.S. greenhouse gas emissions could attract regulatory scrutiny [3]. PulteGroup lacks the AI-driven innovation or high-growth profile that would justify a premium multiple if the cyclical recovery disappoints.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decline below 6% would unlock substantial pent-up demand across all three brands — PulteGroup's 230,000-lot land position provides immediate capacity to capture recovery volume without the land acquisition lag that constrains competitors [1]</w:t>
      </w:r>
    </w:p>
    <w:p>
      <w:pPr>
        <w:spacing w:before="40" w:after="40"/>
        <w:ind w:left="283"/>
      </w:pPr>
      <w:r>
        <w:rPr>
          <w:rFonts w:ascii="Calibri" w:hAnsi="Calibri"/>
          <w:b/>
          <w:color w:val="4A6B25"/>
          <w:sz w:val="20"/>
        </w:rPr>
        <w:t xml:space="preserve">2. </w:t>
      </w:r>
      <w:r>
        <w:rPr>
          <w:rFonts w:ascii="Calibri" w:hAnsi="Calibri"/>
          <w:b w:val="0"/>
          <w:color w:val="3A4A28"/>
          <w:sz w:val="20"/>
        </w:rPr>
        <w:t>Net new order inflection — Q2 2026 orders grew 3% YoY with Florida up 18%, suggesting early demand recovery in Sun Belt markets that could accelerate if rates moderate in H2 2026 [1]</w:t>
      </w:r>
    </w:p>
    <w:p>
      <w:pPr>
        <w:spacing w:before="40" w:after="40"/>
        <w:ind w:left="283"/>
      </w:pPr>
      <w:r>
        <w:rPr>
          <w:rFonts w:ascii="Calibri" w:hAnsi="Calibri"/>
          <w:b/>
          <w:color w:val="4A6B25"/>
          <w:sz w:val="20"/>
        </w:rPr>
        <w:t xml:space="preserve">3. </w:t>
      </w:r>
      <w:r>
        <w:rPr>
          <w:rFonts w:ascii="Calibri" w:hAnsi="Calibri"/>
          <w:b w:val="0"/>
          <w:color w:val="3A4A28"/>
          <w:sz w:val="20"/>
        </w:rPr>
        <w:t>Del Webb active adult expansion positioned to capture accelerating Baby Boomer retirement and downsizing wave, with the 65+ population growing at 2x the overall U.S. population rate through 2030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rates remaining above 6.5% through 2027 would extend the current revenue decline, compress margins further below the 11.6% level, and increase land carrying costs on the 230,000-lot position [1]</w:t>
      </w:r>
    </w:p>
    <w:p>
      <w:pPr>
        <w:spacing w:before="40" w:after="40"/>
        <w:ind w:left="283"/>
      </w:pPr>
      <w:r>
        <w:rPr>
          <w:rFonts w:ascii="Calibri" w:hAnsi="Calibri"/>
          <w:b/>
          <w:color w:val="4A6B25"/>
          <w:sz w:val="20"/>
        </w:rPr>
        <w:t xml:space="preserve">2. </w:t>
      </w:r>
      <w:r>
        <w:rPr>
          <w:rFonts w:ascii="Calibri" w:hAnsi="Calibri"/>
          <w:b w:val="0"/>
          <w:color w:val="3A4A28"/>
          <w:sz w:val="20"/>
        </w:rPr>
        <w:t>Entry-level Centex brand disproportionately exposed to affordability constraints — if home prices remain elevated while rates stay high, first-time buyer demand could structurally decline, reducing one-third of PulteGroup's addressable market</w:t>
      </w:r>
    </w:p>
    <w:p>
      <w:pPr>
        <w:spacing w:before="40" w:after="40"/>
        <w:ind w:left="283"/>
      </w:pPr>
      <w:r>
        <w:rPr>
          <w:rFonts w:ascii="Calibri" w:hAnsi="Calibri"/>
          <w:b/>
          <w:color w:val="4A6B25"/>
          <w:sz w:val="20"/>
        </w:rPr>
        <w:t xml:space="preserve">3. </w:t>
      </w:r>
      <w:r>
        <w:rPr>
          <w:rFonts w:ascii="Calibri" w:hAnsi="Calibri"/>
          <w:b w:val="0"/>
          <w:color w:val="3A4A28"/>
          <w:sz w:val="20"/>
        </w:rPr>
        <w:t>Shareholder pressure on climate commitments (Paris Agreement compliance) and the residential sector's 20% share of U.S. GHG emissions could trigger regulatory costs or mandatory efficiency standards that increase per-home construction costs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Homebuilding is structurally immune to AI disruption — PulteGroup's core business involves physical-world operations (land acquisition, construction, permitting, inspections) that AI cannot replace [1]. Residential construction requires boots-on-the-ground labor, local regulatory compliance across 26 states, and physical infrastructure that AI tools cannot substitute. Mortgage rates and housing supply/demand dynamics drive the business, not information processing. AI may actually benefit homebuilders through design optimization, construction scheduling, cost estimation, and marketing personalization [2]. Analysts have not flagged AI as a risk factor for PulteGroup. AI Opportunity (0/1): PulteGroup uses AI for marketing personalization (SitecoreAI partnership) and operational efficiency but does not generate quantifiable AI-related revenue. AI remains a cost optimization tool, not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PulteGroup Q2 2026 Financial Results — Home Sale Revenue $3.8B (-11% YoY), Net New Orders 8,034 (+3%), EPS $2.48, pultegroupinc.com, July 2026</w:t>
      </w:r>
    </w:p>
    <w:p>
      <w:pPr>
        <w:spacing w:before="20" w:after="20"/>
        <w:ind w:left="170"/>
      </w:pPr>
      <w:r>
        <w:rPr>
          <w:rFonts w:ascii="Calibri" w:hAnsi="Calibri"/>
          <w:b/>
          <w:color w:val="4A6B25"/>
          <w:sz w:val="15"/>
        </w:rPr>
        <w:t xml:space="preserve">2. </w:t>
      </w:r>
      <w:r>
        <w:rPr>
          <w:rFonts w:ascii="Calibri" w:hAnsi="Calibri"/>
          <w:b w:val="0"/>
          <w:color w:val="3A4A28"/>
          <w:sz w:val="17"/>
        </w:rPr>
        <w:t>PulteGroup Leadership and Culture — CEO Ryan Marshall, Great Place to Work 2026-2027 Certification (97% Welcome, 95% Ethical), Glassdoor 4.0+ Rating, chiefexecutive.net</w:t>
      </w:r>
    </w:p>
    <w:p>
      <w:pPr>
        <w:spacing w:before="20" w:after="20"/>
        <w:ind w:left="170"/>
      </w:pPr>
      <w:r>
        <w:rPr>
          <w:rFonts w:ascii="Calibri" w:hAnsi="Calibri"/>
          <w:b/>
          <w:color w:val="4A6B25"/>
          <w:sz w:val="15"/>
        </w:rPr>
        <w:t xml:space="preserve">3. </w:t>
      </w:r>
      <w:r>
        <w:rPr>
          <w:rFonts w:ascii="Calibri" w:hAnsi="Calibri"/>
          <w:b w:val="0"/>
          <w:color w:val="3A4A28"/>
          <w:sz w:val="17"/>
        </w:rPr>
        <w:t>PulteGroup ESG and Community — Built to Honor 80+ Veteran Homes, Climate Shareholder Activism (As You Sow), ESG Risk Score 21 (Medium), Sustainalytics/Yahoo Finance</w:t>
      </w:r>
    </w:p>
    <w:p>
      <w:pPr>
        <w:spacing w:before="20" w:after="20"/>
        <w:ind w:left="170"/>
      </w:pPr>
      <w:r>
        <w:rPr>
          <w:rFonts w:ascii="Calibri" w:hAnsi="Calibri"/>
          <w:b/>
          <w:color w:val="4A6B25"/>
          <w:sz w:val="15"/>
        </w:rPr>
        <w:t xml:space="preserve">4. </w:t>
      </w:r>
      <w:r>
        <w:rPr>
          <w:rFonts w:ascii="Calibri" w:hAnsi="Calibri"/>
          <w:b w:val="0"/>
          <w:color w:val="3A4A28"/>
          <w:sz w:val="17"/>
        </w:rPr>
        <w:t>Yahoo Finance — PHM Key Statistics: $118.94 price, 10.59 Forward P/E, 14.9% ROE, 19.07% D/E, 11.62% Profit Margin,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PulteGroup Balance Sheet and Financial Data — D/E 19.07%, 1.67M avg daily volume, $22.7B market cap,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