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PKG</w:t>
      </w:r>
      <w:r>
        <w:rPr>
          <w:rFonts w:ascii="Calibri" w:hAnsi="Calibri"/>
          <w:b/>
          <w:color w:val="1A2010"/>
          <w:sz w:val="40"/>
        </w:rPr>
        <w:t xml:space="preserve">  Packaging Corporation of America</w:t>
      </w:r>
    </w:p>
    <w:p>
      <w:pPr>
        <w:spacing w:after="120"/>
      </w:pPr>
      <w:r>
        <w:rPr>
          <w:rFonts w:ascii="Calibri" w:hAnsi="Calibri"/>
          <w:b/>
          <w:color w:val="6E8450"/>
          <w:sz w:val="18"/>
        </w:rPr>
        <w:t>DIVIDEND SLEEVE · 2026-09-30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Packaging &amp; Containers · NYSE · United States</w:t>
      </w:r>
    </w:p>
    <w:p>
      <w:pPr>
        <w:spacing w:after="80"/>
      </w:pPr>
      <w:r>
        <w:rPr>
          <w:rFonts w:ascii="Calibri" w:hAnsi="Calibri"/>
          <w:b w:val="0"/>
          <w:color w:val="3A4A28"/>
          <w:sz w:val="20"/>
        </w:rPr>
        <w:t>Packaging Corporation of America is the third-largest producer of containerboard and corrugated packaging products in the United States, with approximately 4 million tons of annual containerboard capacity. The company operates a vertically integrated system of containerboard mills and corrugated products plants, along with a white paper segment. Q2 2026 net sales were $2.5B (+14.7% YoY) with corrugated shipments up 24%, driven by exceptionally strong e-commerce demand. Q3 2026 guidance of $2.91 EPS (ex-items) signals accelerating momentum. CEO Mark Kowlzan has led the company since 2010. Market cap approximately $20.8B with 16,800 employees. Founded 1959, headquartered in Lake Forest, Illinois.</w:t>
      </w:r>
    </w:p>
    <w:p>
      <w:r>
        <w:rPr>
          <w:rFonts w:ascii="Calibri" w:hAnsi="Calibri"/>
          <w:b/>
          <w:color w:val="6E8450"/>
          <w:sz w:val="18"/>
        </w:rPr>
        <w:t>16,800 Employees · https://www.packagingcorp.com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PCA has invested heavily in capacity expansion with $840-870M in 2026 CapEx, including new box plant builds and mill capacity upgrades to maintain its #3 position in the US containerboard market [1][2]. Corrugated shipments surged 24% YoY in Q2 2026 driven by e-commerce demand. These are meaningful but incremental expansions of the existing business model, not transformative pivots. AI Deployment (0/2): No evidence of AI-powered products, services, or quantified AI-driven operational savings. PCA's manufacturing operations focus on traditional process optimization and equipment upgrades [1]. Market Share (2/2): PCA is the third-largest US containerboard producer, behind International Paper (post-DS Smith merger) and Smurfit WestRock, with approximately 4 million tons of annual capacity and a vertically integrated network of mills and box plants that provides structural competitive advantage [1][3]. Product Pipeline (1/2): PCA's Innovation Center drives development of fiber-optimized, performance-based sustainable packaging solutions in collaboration with customers. The $840-870M CapEx budget and capacity expansion provide forward investment visibility, but no specific next-generation products with defined launch dates have been announced [4]. R&amp;D Intensity (0/1): R&amp;D spending is below top quartile for the materials sector, typical for a capital-intensive packaging manufacturer focused on process efficiency rather than product invention.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PCA positions itself around the 'Circular Bioeconomy' — connecting corrugated packaging to sustainability through renewable fiber, recycling, and responsible forestry [4]. A cross-functional Carbon Neutrality team reports to the CEO and Board Sustainability Committee, demonstrating institutional commitment to environmental purpose. The mission connects what they do to something larger, though it doesn't articulate a transformative future state. Community &amp; Charitable Impact (1/2): PCA publishes an annual Responsibility Report documenting environmental stewardship, community engagement, and governance practices. A Board Sustainability Committee oversees ESG performance and strategy. General corporate responsibility programs exist, with a 'negligible ESG risk' rating and 'low controversy level' from Sustainalytics [4][5]. Employee Retention (1/2): CEO Mark Kowlzan has 30+ years with PCA (CEO since 2010, Chairman since 2016), and the recent leadership reshuffle was filled entirely by internal promotions, reflecting a deep bench and culture of developing talent from within [3]. This signals strong institutional knowledge transfer and employee development. Insider Buying (0/2): No meaningful net insider buying by executives was identified in public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 stock. Q2 2026 net sales of $2.5B represented 14.7% YoY growth with adjusted EPS of $2.35, and Q3 2026 guidance of $2.91 (ex-items) signals margin improvement [1][2]. Forward P/E of 17.78x has improved significantly and scores a perfect 1.0, well below the 20x target [6]. D/E of 94.5% is above the 70% target but scores 0.89, reflecting capacity expansion investments. ROE of 14.89% narrowly misses the 15% target (scoring 0.99) — trailing earnings include Q1 special items that depressed GAAP results [1][6]. GAAP profit margin of 7.26% is the primary weakness, scoring only 0.36 against the 20% target, though this is typical for capital-intensive packaging manufacturers and the $2.91 Q3 guidance implies significant margin recovery ahead. Strong dividend history — 23 consecutive years of payments since 2003, 5-year dividend growth CAGR of 6.91%, and $6.00 annual dividend yielding 2.57% — provides significant upward ballast at 2x weight on both payment consistency and growth rate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PCA exhibits mixed infinite game characteristics. The company benefits from exceptional leadership longevity — CEO Kowlzan has served 16 years with 30+ total years at PCA, and all recent leadership positions were filled through internal promotions, signaling a genuine culture of institutional knowledge transfer [3]. The 'Circular Bioeconomy' framing connects packaging to a larger sustainability purpose with a formal Carbon Neutrality team reporting to the CEO and Board. However, PCA has not undergone transformative strategic reinvention — it has been in corrugated packaging for its entire 67-year history — and operates in a fundamentally commodity business where competitive language centers on operational execution rather than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PCA's 'Circular Bioeconomy' purpose connects corrugated packaging to environmental sustainability — renewable fiber, recycling, carbon neutrality — supported by a formal Carbon Neutrality team reporting to the CEO and Board Sustainability Committee [4][5]. The purpose is genuine and partially lived, with strategic decisions (sustainable product development, responsible forestry, Innovation Center) traceable to it. The company's Sustainability Committee oversees ESG performance at the board level. However, it has not been validated through transformative crisis or multi-decade consistency as a competitive advantage in the Sinek sense — the purpose augments but does not define the business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PCA demonstrates notable leadership stability and institutional development. CEO Kowlzan has 30+ years with the company, and the recent leadership reshuffle — CFO and president transitions — was filled entirely by existing employees promoted from within, demonstrating a deep talent bench and culture of growing future leaders internally [3]. This 'promote from within' philosophy signals adequate organizational trust and investment in people. The 16,800-employee manufacturing workforce operates in a safety-first culture where mutual trust has operational significance.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PCA competes as #3 in US containerboard behind International Paper and Smurfit WestRock, and management's competitive language focuses on operational excellence, customer service quality, and cost efficiency rather than defeating competitors [1][3]. Earnings call commentary emphasizes PCA's own execution standards, supply chain integration, and customer relationships rather than competitive destruction. The company's Innovation Center collaborates with customers on solutions rather than positioning against rivals, consistent with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PCA has been a containerboard and corrugated packaging manufacturer for its entire 67-year history. The company has executed excellently within this domain — growing to 4 million tons of capacity and maintaining #3 market position — but has never undergone a fundamental business model transformation or abandoned a core business in service of a larger purpose. Strategic evolution has been incremental: capacity expansion, vertical integration, new plant construction [1][3]. The White Paper segment provides modest diversification but is not a transformative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PCA demonstrates willingness to make significant long-term capital commitments — $840-870M in 2026 CapEx for capacity expansion during a period of evolving market conditions [1]. The commitment to Carbon Neutrality goals with dedicated team and board oversight reflects some principled long-term investment. CEO Kowlzan's 16-year tenure through multiple economic cycles (including COVID) demonstrates consistency of strategic direction. However, these investments are in the company's existing business with relatively predictable returns, not truly courageous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Packaging Corporation of America delivered exceptionally strong Q2 2026 results with corrugated shipments up 24% YoY, net sales of $2.5B (+14.7%), and adjusted EPS of $2.35, with Q3 guidance accelerating to $2.91 per share (ex-items) — the strongest quarterly outlook in recent history [1][2]. As the #3 US containerboard producer with vertically integrated operations and 4M tons of annual capacity, PCA benefits from structural demand tailwinds: e-commerce growth, sustainability-driven paper-over-plastic substitution, and rising data center hardware shipments all drive corrugated packaging volumes. At 17.78x forward earnings — below the 20x target and significantly improved from prior periods — the valuation is reasonable for a company guiding toward accelerating profitability. The 23-year dividend payment history, $6.00 annual dividend (2.57% yield), and 6.91% 5-year dividend growth CAGR provide solid income characteristics [3][6].</w:t>
      </w:r>
    </w:p>
    <w:p>
      <w:pPr>
        <w:spacing w:after="120"/>
      </w:pPr>
      <w:r>
        <w:rPr>
          <w:rFonts w:ascii="Calibri" w:hAnsi="Calibri"/>
          <w:b w:val="0"/>
          <w:color w:val="3A4A28"/>
          <w:sz w:val="20"/>
        </w:rPr>
        <w:t>The bear case centers on margin compression, cyclicality, and balance sheet leverage. GAAP profit margin of 7.26% is below prior year levels (10.4%) due to special items and cost pressures from the $840-870M capacity expansion program, input cost inflation, and labor pressures [1][6]. Trailing ROE of 14.89% has declined below the 15% target, reflecting the impact of special charges on earnings. D/E of 94.5% reflects $4.4B in total debt from capacity investments, creating interest expense headwinds with only $594M in cash and $433M in free cash flow [6]. The payout ratio of 68.2% on trailing earnings limits dividend growth capacity if profitability doesn't recover as Q3 guidance suggests. Corrugated packaging demand is cyclical and correlated with industrial production and consumer spending — the current 24% shipment growth is unsustainably high and a recession would compress both volumes and pricing simultaneously. The PEG of 1.51 suggests the market is pricing in significant but not extraordinary earnings growth that must be delivered to justify the current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earnings guidance of $2.91/share (ex-items) — 24% above Q2 and the strongest quarterly outlook in recent periods — signals significant margin recovery and operating leverage from the capacity expansion investments [1][2]</w:t>
      </w:r>
    </w:p>
    <w:p>
      <w:pPr>
        <w:spacing w:before="40" w:after="40"/>
        <w:ind w:left="283"/>
      </w:pPr>
      <w:r>
        <w:rPr>
          <w:rFonts w:ascii="Calibri" w:hAnsi="Calibri"/>
          <w:b/>
          <w:color w:val="4A6B25"/>
          <w:sz w:val="20"/>
        </w:rPr>
        <w:t xml:space="preserve">2. </w:t>
      </w:r>
      <w:r>
        <w:rPr>
          <w:rFonts w:ascii="Calibri" w:hAnsi="Calibri"/>
          <w:b w:val="0"/>
          <w:color w:val="3A4A28"/>
          <w:sz w:val="20"/>
        </w:rPr>
        <w:t>E-commerce and sustainability-driven substitution from plastic to corrugated packaging expanding the addressable market as 24% corrugated shipment growth demonstrates exceptional demand momentum [1]</w:t>
      </w:r>
    </w:p>
    <w:p>
      <w:pPr>
        <w:spacing w:before="40" w:after="40"/>
        <w:ind w:left="283"/>
      </w:pPr>
      <w:r>
        <w:rPr>
          <w:rFonts w:ascii="Calibri" w:hAnsi="Calibri"/>
          <w:b/>
          <w:color w:val="4A6B25"/>
          <w:sz w:val="20"/>
        </w:rPr>
        <w:t xml:space="preserve">3. </w:t>
      </w:r>
      <w:r>
        <w:rPr>
          <w:rFonts w:ascii="Calibri" w:hAnsi="Calibri"/>
          <w:b w:val="0"/>
          <w:color w:val="3A4A28"/>
          <w:sz w:val="20"/>
        </w:rPr>
        <w:t>Forward P/E compression to 17.78x from 21.87x previously, now below the 20x Infrastructure target, creating re-rating potential if the Q3 earnings acceleration proves sustainable and the trailing P/E normalizes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compression to 7.26% from 10.4% prior, with special items in Q1 2026 depressing trailing earnings — if Q3 margin recovery falls short of the $2.91 guidance, the forward earnings trajectory could disappoint [1][6]</w:t>
      </w:r>
    </w:p>
    <w:p>
      <w:pPr>
        <w:spacing w:before="40" w:after="40"/>
        <w:ind w:left="283"/>
      </w:pPr>
      <w:r>
        <w:rPr>
          <w:rFonts w:ascii="Calibri" w:hAnsi="Calibri"/>
          <w:b/>
          <w:color w:val="4A6B25"/>
          <w:sz w:val="20"/>
        </w:rPr>
        <w:t xml:space="preserve">2. </w:t>
      </w:r>
      <w:r>
        <w:rPr>
          <w:rFonts w:ascii="Calibri" w:hAnsi="Calibri"/>
          <w:b w:val="0"/>
          <w:color w:val="3A4A28"/>
          <w:sz w:val="20"/>
        </w:rPr>
        <w:t>D/E of 94.5% from capacity expansion with $4.4B total debt against $594M cash creates leverage risk if corrugated demand cycles downward, particularly with free cash flow of only $433M and a $534M annual dividend commitment [6]</w:t>
      </w:r>
    </w:p>
    <w:p>
      <w:pPr>
        <w:spacing w:before="40" w:after="40"/>
        <w:ind w:left="283"/>
      </w:pPr>
      <w:r>
        <w:rPr>
          <w:rFonts w:ascii="Calibri" w:hAnsi="Calibri"/>
          <w:b/>
          <w:color w:val="4A6B25"/>
          <w:sz w:val="20"/>
        </w:rPr>
        <w:t xml:space="preserve">3. </w:t>
      </w:r>
      <w:r>
        <w:rPr>
          <w:rFonts w:ascii="Calibri" w:hAnsi="Calibri"/>
          <w:b w:val="0"/>
          <w:color w:val="3A4A28"/>
          <w:sz w:val="20"/>
        </w:rPr>
        <w:t>Corrugated demand cyclicality — the current 24% shipment growth is unsustainably high, and any e-commerce deceleration or recession would compress both volumes and pricing simultaneously, with operating leverage working in reverse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PCA's core business — manufacturing containerboard from wood fiber and converting it into corrugated packaging at scale — is structurally immune to AI disruption [1]. Physical mills, converting plants, fleet logistics, forestry management, and massive capital infrastructure ($840-870M annual CapEx) cannot be substituted by AI. Corrugated packaging demand is driven by e-commerce and consumer goods shipping volumes, which AI adoption across the economy is likely to increase — Q2 2026 corrugated shipments grew 24% YoY as e-commerce demand accelerated [1][2]. Data center hardware shipment growth also drives packaging volumes. Analysts identify no AI-related substitution risk for PCA's business. Regulatory requirements (environmental compliance, forestry certifications) create additional structural barriers. AI Opportunity (0/1): PCA does not generate revenue from AI products or services. Operational AI (predictive maintenance, supply chain optimization) may be deployed internally but no specific AI-related revenue or quantified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Packaging Corporation of America Q2 2026 Earnings Release — Net Sales $2.5B (+14.7% YoY), Adjusted EPS $2.35, Corrugated Shipments +24%, Q3 Guidance $2.91 — ir.packagingcorp.com / BusinessWire, July 2026</w:t>
      </w:r>
    </w:p>
    <w:p>
      <w:pPr>
        <w:spacing w:before="20" w:after="20"/>
        <w:ind w:left="170"/>
      </w:pPr>
      <w:r>
        <w:rPr>
          <w:rFonts w:ascii="Calibri" w:hAnsi="Calibri"/>
          <w:b/>
          <w:color w:val="4A6B25"/>
          <w:sz w:val="15"/>
        </w:rPr>
        <w:t xml:space="preserve">2. </w:t>
      </w:r>
      <w:r>
        <w:rPr>
          <w:rFonts w:ascii="Calibri" w:hAnsi="Calibri"/>
          <w:b w:val="0"/>
          <w:color w:val="3A4A28"/>
          <w:sz w:val="17"/>
        </w:rPr>
        <w:t>Packaging Corporation of America Q1 2026 Results — Net Sales $2.4B, GAAP EPS $1.91, Adjusted EPS $2.40 (+$0.20 Above Guidance) — BusinessWire / Yahoo Finance, April 2026</w:t>
      </w:r>
    </w:p>
    <w:p>
      <w:pPr>
        <w:spacing w:before="20" w:after="20"/>
        <w:ind w:left="170"/>
      </w:pPr>
      <w:r>
        <w:rPr>
          <w:rFonts w:ascii="Calibri" w:hAnsi="Calibri"/>
          <w:b/>
          <w:color w:val="4A6B25"/>
          <w:sz w:val="15"/>
        </w:rPr>
        <w:t xml:space="preserve">3. </w:t>
      </w:r>
      <w:r>
        <w:rPr>
          <w:rFonts w:ascii="Calibri" w:hAnsi="Calibri"/>
          <w:b w:val="0"/>
          <w:color w:val="3A4A28"/>
          <w:sz w:val="17"/>
        </w:rPr>
        <w:t>PCA Leadership and Culture — CEO Mark Kowlzan (16-year tenure, 30+ years at PCA), Internal Promotions for All Leadership Positions — Packaging Dive / Craft.co, 2026</w:t>
      </w:r>
    </w:p>
    <w:p>
      <w:pPr>
        <w:spacing w:before="20" w:after="20"/>
        <w:ind w:left="170"/>
      </w:pPr>
      <w:r>
        <w:rPr>
          <w:rFonts w:ascii="Calibri" w:hAnsi="Calibri"/>
          <w:b/>
          <w:color w:val="4A6B25"/>
          <w:sz w:val="15"/>
        </w:rPr>
        <w:t xml:space="preserve">4. </w:t>
      </w:r>
      <w:r>
        <w:rPr>
          <w:rFonts w:ascii="Calibri" w:hAnsi="Calibri"/>
          <w:b w:val="0"/>
          <w:color w:val="3A4A28"/>
          <w:sz w:val="17"/>
        </w:rPr>
        <w:t>PCA 2025 Responsibility Report — Circular Bioeconomy, Carbon Neutrality Goals, Board Sustainability Committee — packagingcorp.com</w:t>
      </w:r>
    </w:p>
    <w:p>
      <w:pPr>
        <w:spacing w:before="20" w:after="20"/>
        <w:ind w:left="170"/>
      </w:pPr>
      <w:r>
        <w:rPr>
          <w:rFonts w:ascii="Calibri" w:hAnsi="Calibri"/>
          <w:b/>
          <w:color w:val="4A6B25"/>
          <w:sz w:val="15"/>
        </w:rPr>
        <w:t xml:space="preserve">5. </w:t>
      </w:r>
      <w:r>
        <w:rPr>
          <w:rFonts w:ascii="Calibri" w:hAnsi="Calibri"/>
          <w:b w:val="0"/>
          <w:color w:val="3A4A28"/>
          <w:sz w:val="17"/>
        </w:rPr>
        <w:t>PCA ESG Profile — Negligible ESG Risk Rating, Low Controversy Level — Sustainalytics / CSRHub / Yahoo Finance,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PKG Key Statistics: Price $233.28, Forward P/E 17.78, D/E 94.47%, ROE 14.89%, Profit Margin 7.26%, Avg Volume 619K,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