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PK</w:t>
      </w:r>
      <w:r>
        <w:rPr>
          <w:rFonts w:ascii="Calibri" w:hAnsi="Calibri"/>
          <w:b/>
          <w:color w:val="1A2010"/>
          <w:sz w:val="40"/>
        </w:rPr>
        <w:t xml:space="preserve">  Park Hotels &amp; Resorts Inc.</w:t>
      </w:r>
    </w:p>
    <w:p>
      <w:pPr>
        <w:spacing w:after="120"/>
      </w:pPr>
      <w:r>
        <w:rPr>
          <w:rFonts w:ascii="Calibri" w:hAnsi="Calibri"/>
          <w:b/>
          <w:color w:val="6E8450"/>
          <w:sz w:val="18"/>
        </w:rPr>
        <w:t>DIVIDEND SLEEVE · 2026-09-01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NYSE · United States</w:t>
      </w:r>
    </w:p>
    <w:p>
      <w:pPr>
        <w:spacing w:after="80"/>
      </w:pPr>
      <w:r>
        <w:rPr>
          <w:rFonts w:ascii="Calibri" w:hAnsi="Calibri"/>
          <w:b w:val="0"/>
          <w:color w:val="3A4A28"/>
          <w:sz w:val="20"/>
        </w:rPr>
        <w:t>Park Hotels &amp; Resorts Inc. is a lodging-focused real estate investment trust (REIT) that owns a portfolio of premium-branded hotels and resorts primarily operated under Hilton and Marriott brands. Spun off from Hilton Worldwide in January 2017, the company owns 41 hotels with approximately 25,000 rooms across major U.S. markets. Headquartered in Tysons, Virginia.</w:t>
      </w:r>
    </w:p>
    <w:p>
      <w:r>
        <w:rPr>
          <w:rFonts w:ascii="Calibri" w:hAnsi="Calibri"/>
          <w:b/>
          <w:color w:val="6E8450"/>
          <w:sz w:val="18"/>
        </w:rPr>
        <w:t>8 Employees · https://www.pkhotelsandresorts.com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Park Hotels achieved RevPAR growth of nearly 7% YoY in Q2 2026 with revenue of $680M beating estimates, returning to profitability with $47M net income after losses in the prior year [1][2]. However, as a hotel REIT, the company does not develop new products or transform business models — value creation comes through asset acquisition, disposition, and renovation rather than innovation. AI Deployment (0/2): No AI-powered products, services, or quantified AI-driven operational efficiencies are evident. The hotel REIT model relies on third-party operators (Hilton, Marriott) for day-to-day operations, limiting direct technology deployment. Market Share (0/2): Park Hotels is a mid-tier lodging REIT with ~25,000 rooms, smaller than Host Hotels &amp; Resorts (~74,000 rooms). No category leadership or meaningful share gains identified. Product Pipeline (1/2): The company is actively executing portfolio optimization through strategic asset sales, reducing exposure to lower-performing urban markets and concentrating on premium resort properties, representing a clear if incremental strategic direction [2]. R&amp;D Intensity (0/1): Hotel REITs do not conduct traditional R&amp;D. Capital expenditures go toward property renovations, not technology or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Park Hotels' purpose is centered on creating shareholder value through ownership of premium-branded hotel assets — a standard REIT mission that is interchangeable with any lodging peer. There is no articulated vision of a better future beyond financial returns. Community Impact (1/2): Park Hotels has been recognized by Newsweek as one of America's Most Responsible Companies four times, achieved a 28% reduction in greenhouse gas emissions from their 2017 base year, and completed a DEI audit showing no measurable pay disparity based on gender or race [4]. However, specific charitable giving amounts or foundation activity were not identified. Employee Retention (1/2): CEO Thomas Baltimore Jr. has served for 9.25 years since the company's formation, providing strong leadership continuity through the COVID crisis and recovery [3]. As a REIT with only 8 corporate employees (operators manage hotel staff), organizational culture assessment is limited to the executive team. Insider Buying (0/2): No meaningful insider buying data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structural REIT disadvantages in profit margin and ROE due to depreciation accounting. Q2 2026 revenue of $680M (up 1.2% YoY, beating $660.95M estimates) with hotel adjusted EBITDA of $204M and ~32% margin (up 80bps YoY), and net income of $47M marking a return to profitability [1]. Full-year guidance raised to RevPAR growth of 3-4.5% and adjusted FFO of $1.90-$2.00/share. D/E of 124.3% reflects typical REIT leverage, scoring 0.76. ROE of -6.53% TTM scores 0. Revenue growth YoY of 1.2% (Q2) scores 0.71. Forward P/E of 34.73 scores 0.63. Profit margin of -6.4% TTM scores 0 (improving as profitability returns). Consecutive years of dividend payment ~5 years (post-COVID resumption) scores 0.5 at 2x weight. Infrastructure score 4. Liquidity floor easily cleared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Park Hotels &amp; Resorts operates with a fundamentally finite mindset appropriate to its REIT structure — the company exists to generate shareholder returns through asset ownership, dividend distribution, and portfolio optimization. While CEO Baltimore's 9-year tenure provides leadership stability, the company's purpose is financial rather than aspirational. Strategic decisions are driven by NAV accretion and FFO growth, not by a vision of a better future. The COVID survival and recovery demonstrated resilience but not the kind of purpose-driven endurance Sinek would celebrate.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Park Hotels exists to create shareholder value through ownership of premium-branded hotel assets. This is a financial purpose — 'maximize returns for shareholders' — that Sinek would identify as the textbook example of a finite game player. There is no articulated vision of a better future, no Just Cause that inspires employees or communities. The company is transparent about this: it is an investment vehicle, not a mission-driven enterprise.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Thomas Baltimore Jr.'s 9.25-year tenure since the company's formation provides leadership continuity and suggests organizational stability at the executive level [3]. The corporate team is very lean (~8 employees) with hotel operations managed by Hilton and Marriott, making traditional organizational trust assessment difficult. No specific data on employee sentiment or cultural practices was identified, though the small team size inherently requires high interpersonal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in the Sinek sense — acknowledging rivals' strengths to improve oneself. Park Hotels' competitive language focuses on portfolio quality, RevPAR growth, and NAV relative to peers like Host Hotels and Pebblebrook, which is a standard finite-game comparison of metrics rather than an infinite-minded approach to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Park Hotels has incrementally repositioned its portfolio since the 2017 Hilton spin-off — executing strategic asset sales to reduce exposure to underperforming urban markets and concentrating on premium resort properties with higher RevPAR growth (7.6% YoY in Q1 2026) [1][2]. The company navigated the COVID-19 crisis by suspending dividends, reducing costs, and selectively disposing of assets. These were adaptive responses to market conditions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Park Hotels made the difficult decision to default on the $725M mortgage for the Hilton San Francisco Union Square and Hilton Parc 55 during COVID, choosing to protect the broader portfolio over honoring a single obligation — a financially rational but courageous capital allocation decision. The company also lowered its 2026 guidance despite Q1 beats, signaling honest forward expectations over quarter-to-quarter optics [1]. However, these decisions were driven by financial pragmatism rather than service to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Park Hotels delivered strong Q2 2026 results with $680M revenue (beating $660.95M estimates), RevPAR up nearly 7% YoY, and hotel adjusted EBITDA of $204M at a ~32% margin — up 80bps YoY [1]. The company returned to profitability with $47M net income and raised full-year guidance: RevPAR growth of 3-4.5%, adjusted EBITDA of $617-637M, and adjusted FFO of $1.90-$2.00 per share. The 6.37% dividend yield provides meaningful income for a REIT trading at $15.86, and the premium-branded portfolio (Hilton, Marriott) positions Park Hotels in the strongest segment of lodging. CEO Baltimore's 9-year tenure provides strategic continuity, and recognition as one of Newsweek's Most Responsible Companies reflects governance quality [4].</w:t>
      </w:r>
    </w:p>
    <w:p>
      <w:pPr>
        <w:spacing w:after="120"/>
      </w:pPr>
      <w:r>
        <w:rPr>
          <w:rFonts w:ascii="Calibri" w:hAnsi="Calibri"/>
          <w:b w:val="0"/>
          <w:color w:val="3A4A28"/>
          <w:sz w:val="20"/>
        </w:rPr>
        <w:t>The bear case centers on structural financial weakness despite the improving trajectory. The company carries $4.78B in debt with net debt exceeding the stock price on a per-share basis, and the forward P/E of 34.73x is elevated for a slow-growth REIT [5]. ROE of -6.53% and profit margin of -6.40% TTM reflect accounting challenges from heavy depreciation, but even FFO-based metrics show a company generating modest returns on a highly leveraged asset base. While Q2 2026 was strong, full-year RevPAR guidance of only 3-4.5% growth signals a maturing lodging cycle [1]. Macro risks are significant: a recession would compress RevPAR, business travel remains below pre-COVID levels in many urban markets, and elevated interest rates increase the cost of refinancing $4.78B in debt. The San Francisco market exodus (resulting in the strategic default on the Union Square properties) demonstrated how quickly hotel asset values can deteriorate in weak urban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RevPAR growth of nearly 7% YoY with raised full-year guidance to $617-637M adjusted EBITDA demonstrates recovery momentum, with potential for further upside as group and leisure demand strengthens [1]</w:t>
      </w:r>
    </w:p>
    <w:p>
      <w:pPr>
        <w:spacing w:before="40" w:after="40"/>
        <w:ind w:left="283"/>
      </w:pPr>
      <w:r>
        <w:rPr>
          <w:rFonts w:ascii="Calibri" w:hAnsi="Calibri"/>
          <w:b/>
          <w:color w:val="4A6B25"/>
          <w:sz w:val="20"/>
        </w:rPr>
        <w:t xml:space="preserve">2. </w:t>
      </w:r>
      <w:r>
        <w:rPr>
          <w:rFonts w:ascii="Calibri" w:hAnsi="Calibri"/>
          <w:b w:val="0"/>
          <w:color w:val="3A4A28"/>
          <w:sz w:val="20"/>
        </w:rPr>
        <w:t>Strategic asset sales and portfolio simplification could unlock net asset value that the market is currently discounting, particularly if proceeds are used to reduce the $4.78B debt burden</w:t>
      </w:r>
    </w:p>
    <w:p>
      <w:pPr>
        <w:spacing w:before="40" w:after="40"/>
        <w:ind w:left="283"/>
      </w:pPr>
      <w:r>
        <w:rPr>
          <w:rFonts w:ascii="Calibri" w:hAnsi="Calibri"/>
          <w:b/>
          <w:color w:val="4A6B25"/>
          <w:sz w:val="20"/>
        </w:rPr>
        <w:t xml:space="preserve">3. </w:t>
      </w:r>
      <w:r>
        <w:rPr>
          <w:rFonts w:ascii="Calibri" w:hAnsi="Calibri"/>
          <w:b w:val="0"/>
          <w:color w:val="3A4A28"/>
          <w:sz w:val="20"/>
        </w:rPr>
        <w:t>Potential for dividend increases as FFO grows from RevPAR recovery, which would attract income-focused REIT investors and support the stock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 $4.78B debt creates significant refinancing risk if interest rates remain high, and net debt per share exceeds the $15.86 stock price, leaving limited equity cushion [5]</w:t>
      </w:r>
    </w:p>
    <w:p>
      <w:pPr>
        <w:spacing w:before="40" w:after="40"/>
        <w:ind w:left="283"/>
      </w:pPr>
      <w:r>
        <w:rPr>
          <w:rFonts w:ascii="Calibri" w:hAnsi="Calibri"/>
          <w:b/>
          <w:color w:val="4A6B25"/>
          <w:sz w:val="20"/>
        </w:rPr>
        <w:t xml:space="preserve">2. </w:t>
      </w:r>
      <w:r>
        <w:rPr>
          <w:rFonts w:ascii="Calibri" w:hAnsi="Calibri"/>
          <w:b w:val="0"/>
          <w:color w:val="3A4A28"/>
          <w:sz w:val="20"/>
        </w:rPr>
        <w:t>Macroeconomic recession risk — a downturn would compress RevPAR, reduce occupancy, and threaten the dividend, with the COVID experience demonstrating that hotel REITs face existential pressure during demand shocks</w:t>
      </w:r>
    </w:p>
    <w:p>
      <w:pPr>
        <w:spacing w:before="40" w:after="40"/>
        <w:ind w:left="283"/>
      </w:pPr>
      <w:r>
        <w:rPr>
          <w:rFonts w:ascii="Calibri" w:hAnsi="Calibri"/>
          <w:b/>
          <w:color w:val="4A6B25"/>
          <w:sz w:val="20"/>
        </w:rPr>
        <w:t xml:space="preserve">3. </w:t>
      </w:r>
      <w:r>
        <w:rPr>
          <w:rFonts w:ascii="Calibri" w:hAnsi="Calibri"/>
          <w:b w:val="0"/>
          <w:color w:val="3A4A28"/>
          <w:sz w:val="20"/>
        </w:rPr>
        <w:t>Structural urban market challenges — business travel remains below pre-COVID levels in many city center markets where PK has exposure, and remote work trends may permanently reduce demand for urban hotel rooms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Park Hotels' core business — owning physical hotel and resort properties in premium locations — is structurally immune to AI displacement. AI cannot replace the need for hotel rooms, conference centers, restaurants, or the real estate assets underlying them. The demand drivers for lodging (business travel, leisure travel, events) require physical presence that digital alternatives cannot fully substitute [3]. However, AI-powered platforms could disrupt distribution channels (OTAs, direct booking), guest services, and revenue management, creating competitive pressure on operators (Hilton, Marriott) that could indirectly affect asset values. Airbnb and similar platforms already demonstrated technology-driven disruption of traditional lodging. AI Opportunity (0/1): Park Hotels does not generate AI-related revenue. As a REIT, the company relies on third-party operators for technology deployment and does not directly develop or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Park Hotels &amp; Resorts Q2 2026 Earnings Release and Earnings Call — SEC Filing, Investing.com, GuruFocus, July 2026</w:t>
      </w:r>
    </w:p>
    <w:p>
      <w:pPr>
        <w:spacing w:before="20" w:after="20"/>
        <w:ind w:left="170"/>
      </w:pPr>
      <w:r>
        <w:rPr>
          <w:rFonts w:ascii="Calibri" w:hAnsi="Calibri"/>
          <w:b/>
          <w:color w:val="4A6B25"/>
          <w:sz w:val="15"/>
        </w:rPr>
        <w:t xml:space="preserve">2. </w:t>
      </w:r>
      <w:r>
        <w:rPr>
          <w:rFonts w:ascii="Calibri" w:hAnsi="Calibri"/>
          <w:b w:val="0"/>
          <w:color w:val="3A4A28"/>
          <w:sz w:val="17"/>
        </w:rPr>
        <w:t>Park Hotels &amp; Resorts Portfolio Strategy and Asset Management — pkhotelsandresorts.com, 2026</w:t>
      </w:r>
    </w:p>
    <w:p>
      <w:pPr>
        <w:spacing w:before="20" w:after="20"/>
        <w:ind w:left="170"/>
      </w:pPr>
      <w:r>
        <w:rPr>
          <w:rFonts w:ascii="Calibri" w:hAnsi="Calibri"/>
          <w:b/>
          <w:color w:val="4A6B25"/>
          <w:sz w:val="15"/>
        </w:rPr>
        <w:t xml:space="preserve">3. </w:t>
      </w:r>
      <w:r>
        <w:rPr>
          <w:rFonts w:ascii="Calibri" w:hAnsi="Calibri"/>
          <w:b w:val="0"/>
          <w:color w:val="3A4A28"/>
          <w:sz w:val="17"/>
        </w:rPr>
        <w:t>Park Hotels &amp; Resorts Leadership Team — pkhotelsandresorts.com,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Park Hotels &amp; Resorts Corporate Responsibility Report and ESG Recognitions — GlobeNewswire, Newsweek, 2023-2026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PK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