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PM</w:t>
      </w:r>
      <w:r>
        <w:rPr>
          <w:rFonts w:ascii="Calibri" w:hAnsi="Calibri"/>
          <w:b/>
          <w:color w:val="1A2010"/>
          <w:sz w:val="40"/>
        </w:rPr>
        <w:t xml:space="preserve">  Philip Morris International Inc.</w:t>
      </w:r>
    </w:p>
    <w:p>
      <w:pPr>
        <w:spacing w:after="120"/>
      </w:pPr>
      <w:r>
        <w:rPr>
          <w:rFonts w:ascii="Calibri" w:hAnsi="Calibri"/>
          <w:b/>
          <w:color w:val="6E8450"/>
          <w:sz w:val="18"/>
        </w:rPr>
        <w:t>DIVIDEND SLEEVE · 2026-08-26 · Inspire: -53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Tobacco · NYSE · United States</w:t>
      </w:r>
    </w:p>
    <w:p>
      <w:pPr>
        <w:spacing w:after="80"/>
      </w:pPr>
      <w:r>
        <w:rPr>
          <w:rFonts w:ascii="Calibri" w:hAnsi="Calibri"/>
          <w:b w:val="0"/>
          <w:color w:val="3A4A28"/>
          <w:sz w:val="20"/>
        </w:rPr>
        <w:t>Philip Morris International is a global tobacco and nicotine company that has spent the past decade transforming from a pure combustible-cigarette business into a multicategory smoke-free products (SFP) company, led by the IQOS heated-tobacco platform and the ZYN nicotine pouch brand. Q2 2026 delivered record quarterly net revenue of $11.2 billion (+10.4% YoY) with adjusted diluted EPS up 15%, driven by 14.2% smoke-free segment growth; the FDA granted marketing authorization for 20 ZYN variants and the company launched ZYN ULTRA (9mg/11mg) this quarter [1]. Smoke-free products now represent more than 40% of total net revenue, up from zero when the transformation began, under CEO Jacek Olczak.</w:t>
      </w:r>
    </w:p>
    <w:p>
      <w:r>
        <w:rPr>
          <w:rFonts w:ascii="Calibri" w:hAnsi="Calibri"/>
          <w:b/>
          <w:color w:val="6E8450"/>
          <w:sz w:val="18"/>
        </w:rPr>
        <w:t>84,900 Employees · https://www.pmi.com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PMI's decade-long shift from a pure combustible-cigarette business to a company generating more than 40% of net revenue from smoke-free products (IQOS heated tobacco, ZYN nicotine pouches) is a genuinely transformative business-model pivot, not an incremental refresh [2]. AI Deployment (1/2): PMI describes actively integrating AI into its culture and operations with a stated long-view philosophy ('looking at consequences five and ten years down the line' rather than chasing immediate efficiency), but no specific dollar figure for AI-driven savings or a customer-facing AI product was disclosed [2]. Market Share (2/2): Q2 2026 record $11.2B revenue was explicitly 'led by IQOS and ZYN,' with the FDA granting marketing authorization for 20 ZYN product variants — concrete evidence of category leadership in both heated tobacco and nicotine pouches [1]. Product Pipeline (2/2): ZYN ULTRA (9mg and 11mg moist variants) launched this quarter at a lower price point than the flagship ZYN dry portfolio, a specifically named, dated product launch with clear market positioning [1]. R&amp;D Intensity (0/1): No R&amp;D-to-revenue figure or industry comparison was found in available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PMI's 'PMI DNA' cultural framework (values: 'We care,' 'We are better together,' 'We are game changers') and stated ambition to 'deliver a smoke-free future' are specific and have been backed by a decade of real capital investment (40%+ of revenue now smoke-free), but multiple lawsuits allege the company's 'smoke-free world' messaging functions as propaganda — including claims a French subsidiary used the slogan to mask promotion of combustible cigarettes and heated tobacco, and that the ostensibly independent Foundation for a Smoke-Free World improperly coordinated with PMI — which materially undercuts the genuineness of the stated purpose [3]. Community Impact (0/2): No evidence of a distinctive, uncontroversial charitable or community program was found; the Foundation for a Smoke-Free World itself is the subject of the propaganda allegations above rather than a clean example of community investment. Employee Retention (2/2): PMI's Chief People &amp; Culture Officer is a 35-year company veteran, and the company has publicly detailed an initiative to map every employee skill to 'secure 83,000 careers' amid its smoke-free transformation — specific, quantified evidence of long tenure and workforce investment [2]. Insider Buying (0/2): No evidence of net insider buying was found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Dividend-sleeve stock (3.03% yield, 18-year uninterrupted payment and growth history since the 2008 Altria spinoff). Debt-to-equity and ROE are excluded from scoring as not meaningful — PMI carries negative stockholders' equity (-$10.0B) from years of debt-funded dividends and buybacks, a common large-cap pattern that breaks the standard ratio calculation. Revenue growth YoY of 10.4% scores at the ceiling, profit margin of 25.56% clears its 20% target, and Forward P/E of 21.15x sits just above the 20x target. The 3-year revenue CAGR of ~8.55% (best available proxy for the 5yr metric) falls modestly short of the 10% target. On dividend quality, 18 consecutive years of payments and increases both score at ceiling, though payout ratio of 80.7% is well above the 40% target and 5yr dividend CAGR of ~3.7% is below the 6% target, reflecting a mature, income-focused capital return policy rather than aggressive dividend growth. Liquidity is not a constraint: ~5.0M average daily shares at $193.92 clears roughly $969M in daily dollar volume,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By the letter of Sinek's checklist, PMI presents an unusually strong infinite-game profile: a decade-plus, capital-intensive reinvention of its core product category (from combustible cigarettes to smoke-free IQOS and ZYN, now 40%+ of revenue) that persisted across market cycles, paired with concrete employee-tenure and workforce-security evidence. This creates real tension, however — multiple credible lawsuits allege the company's 'smoke-free world' purpose narrative has itself been used as propaganda to mask continued cigarette promotion in some markets, meaning the same transformation Sinek would cite as exemplary existential flexibility is also the subject of genuine deception allegations that IOWN investors should weigh directly against the product category's inherent public-health harm.</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stated ambition to 'deliver a smoke-free future' is backed by real, sustained capital allocation — smoke-free products grew from zero to 40%+ of net revenue over a decade — but lawsuits alleging the same messaging functions as propaganda in specific markets (a French subsidiary case, the Foundation for a Smoke-Free World controversy) mean the cause is only partially, not fully, validated as genuinely lived versus strategically marketed [2][3].</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'PMI DNA' cultural framework was co-created with employees globally, the Chief People &amp; Culture Officer is a 35-year company veteran, and PMI has published a specific initiative mapping every employee skill to 'secure 83,000 careers' through the smoke-free transition — concrete, quantified evidence of an intentionally high-trust organization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collaborative or self-improvement competitive language toward Altria, British American Tobacco, or other nicotine category rivals was found in available research.</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PMI's shift from a pure combustible-cigarette company to one generating more than 40% of revenue from smoke-free products (IQOS, ZYN) is a genuine, transformative reinvention of the company's core product category — the closest analogue in this batch to Sinek's Fujifilm example — sustained through a full decade of investment rather than a single product cycle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PMI has invested billions over more than a decade building out heated tobacco and nicotine pouch categories that necessarily cannibalize its historically dominant, highly profitable combustible cigarette business — a repeated pattern of prioritizing the long-term smoke-free thesis over near-term cigarette profit maximization, now validated by smoke-free products exceeding 40% of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Philip Morris posted record Q2 2026 net revenue of $11.2 billion (+10.4% YoY) with adjusted diluted EPS up 15%, powered by 14.2% smoke-free segment growth as IQOS and ZYN — now over 40% of total net revenue — continue to displace the legacy combustible cigarette business [1]. The FDA's marketing authorization for 20 ZYN variants and the quarter's ZYN ULTRA launch extend PMI's lead in the fast-growing U.S. nicotine pouch category, and management chose to redirect first-half upside into a U.S. investment blitz rather than bank it, signaling confidence in continued category share gains. Infrastructure scores strongly (8/10) on profit margin (25.56%), an 18-year uninterrupted dividend payment and growth streak, and a 3.03% yield, while AI Resilience is effectively maximal (9/9 risk protection) given the physical, regulation-anchored nature of nicotine product demand.</w:t>
      </w:r>
    </w:p>
    <w:p>
      <w:pPr>
        <w:spacing w:after="120"/>
      </w:pPr>
      <w:r>
        <w:rPr>
          <w:rFonts w:ascii="Calibri" w:hAnsi="Calibri"/>
          <w:b w:val="0"/>
          <w:color w:val="3A4A28"/>
          <w:sz w:val="20"/>
        </w:rPr>
        <w:t>The bear case is only partly financial: Forward P/E of 21.15x is modestly above the 20x Infrastructure target, dividend growth has slowed to a ~3.7% 5yr CAGR against an elevated 80.7% payout ratio, and the 3-year revenue CAGR of ~8.6% trails the 10% target. The more significant risk is reputational and legal — multiple active lawsuits allege PMI's 'smoke-free world' messaging is itself a form of propaganda used to mask continued cigarette marketing in specific markets, including a French subsidiary case and allegations of improper coordination with the nominally independent Foundation for a Smoke-Free World [3]. This directly undercuts the Inspiration mission-floor score and sits in tension with the company's own Infinite Game narrative of existential transformation. The Inspire Impact Score of -53 (MISALIGNED), driven by the Tobacco and LGBT Activism attributions, will exclude PM from many faith-based portfolios regardless of operating performance, and litigation risk (historical RICO liability, ongoing international arbitration disputes such as Philip Morris v. Uruguay) remains a structural overhang on the tobacco category broadly.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ZYN category expansion following FDA marketing authorization for 20 variants and the ZYN ULTRA launch, supported by a redirected U.S. investment blitz funded by first-half 2026 upside [1]</w:t>
      </w:r>
    </w:p>
    <w:p>
      <w:pPr>
        <w:spacing w:before="40" w:after="40"/>
        <w:ind w:left="283"/>
      </w:pPr>
      <w:r>
        <w:rPr>
          <w:rFonts w:ascii="Calibri" w:hAnsi="Calibri"/>
          <w:b/>
          <w:color w:val="4A6B25"/>
          <w:sz w:val="20"/>
        </w:rPr>
        <w:t xml:space="preserve">2. </w:t>
      </w:r>
      <w:r>
        <w:rPr>
          <w:rFonts w:ascii="Calibri" w:hAnsi="Calibri"/>
          <w:b w:val="0"/>
          <w:color w:val="3A4A28"/>
          <w:sz w:val="20"/>
        </w:rPr>
        <w:t>IQOS heated-tobacco share gains internationally as the smoke-free segment (14.2% growth) continues pulling the total portfolio mix past the 40%-of-revenue threshold [1]</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execution on 'best-in-class top and bottom-line growth,' with management signaling confidence by choosing to invest upside rather than bank it as pure EPS beat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Active litigation alleging PMI's 'smoke-free world' messaging constitutes propaganda used to mask continued cigarette promotion, including a French subsidiary lawsuit and Foundation for a Smoke-Free World coordination allegations — a direct threat to the credibility of the company's core strategic narrative [3]</w:t>
      </w:r>
    </w:p>
    <w:p>
      <w:pPr>
        <w:spacing w:before="40" w:after="40"/>
        <w:ind w:left="283"/>
      </w:pPr>
      <w:r>
        <w:rPr>
          <w:rFonts w:ascii="Calibri" w:hAnsi="Calibri"/>
          <w:b/>
          <w:color w:val="4A6B25"/>
          <w:sz w:val="20"/>
        </w:rPr>
        <w:t xml:space="preserve">2. </w:t>
      </w:r>
      <w:r>
        <w:rPr>
          <w:rFonts w:ascii="Calibri" w:hAnsi="Calibri"/>
          <w:b w:val="0"/>
          <w:color w:val="3A4A28"/>
          <w:sz w:val="20"/>
        </w:rPr>
        <w:t>Elevated 80.7% payout ratio combined with a slowing ~3.7% 5yr dividend growth CAGR limits capital flexibility if smoke-free investment needs accelerate or regulatory costs rise [1]</w:t>
      </w:r>
    </w:p>
    <w:p>
      <w:pPr>
        <w:spacing w:before="40" w:after="40"/>
        <w:ind w:left="283"/>
      </w:pPr>
      <w:r>
        <w:rPr>
          <w:rFonts w:ascii="Calibri" w:hAnsi="Calibri"/>
          <w:b/>
          <w:color w:val="4A6B25"/>
          <w:sz w:val="20"/>
        </w:rPr>
        <w:t xml:space="preserve">3. </w:t>
      </w:r>
      <w:r>
        <w:rPr>
          <w:rFonts w:ascii="Calibri" w:hAnsi="Calibri"/>
          <w:b w:val="0"/>
          <w:color w:val="3A4A28"/>
          <w:sz w:val="20"/>
        </w:rPr>
        <w:t>Regulatory and international arbitration exposure (e.g., Philip Morris v. Uruguay) alongside historical RICO liability underscore persistent legal and reputational risk inherent to the tobacco and nicotine category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PMI's core business — manufacturing and distributing physical nicotine products (cigarettes, heated tobacco devices, nicotine pouches) to a regulated, brand-loyal, addiction-driven consumer base — is structurally immune to AI substitution; no analyst commentary in available research raised AI disruption risk to tobacco or nicotine demand. AI Opportunity (0/1): PMI is exploring AI internally for culture, HR, and likely operational applications with an explicitly long-term (5-10 year) philosophy, but no specific quantified AI revenue or product was cited, so no opportunity point is awarded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Tobacco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Philip Morris International Q2 2026 Results — Record $11.2B Revenue, ZYN ULTRA Launch, FDA ZYN Authorization — BusinessWire, 24/7 Wall St, BigGo Finance, ChartMill, August 2026</w:t>
      </w:r>
    </w:p>
    <w:p>
      <w:pPr>
        <w:spacing w:before="20" w:after="20"/>
        <w:ind w:left="170"/>
      </w:pPr>
      <w:r>
        <w:rPr>
          <w:rFonts w:ascii="Calibri" w:hAnsi="Calibri"/>
          <w:b/>
          <w:color w:val="4A6B25"/>
          <w:sz w:val="15"/>
        </w:rPr>
        <w:t xml:space="preserve">2. </w:t>
      </w:r>
      <w:r>
        <w:rPr>
          <w:rFonts w:ascii="Calibri" w:hAnsi="Calibri"/>
          <w:b w:val="0"/>
          <w:color w:val="3A4A28"/>
          <w:sz w:val="17"/>
        </w:rPr>
        <w:t>PMI Culture, AI Transformation, and Smoke-Free Business Evolution — HR Executive, Human Resources Online, HR Grapevine, IMD, 2025-2026</w:t>
      </w:r>
    </w:p>
    <w:p>
      <w:pPr>
        <w:spacing w:before="20" w:after="20"/>
        <w:ind w:left="170"/>
      </w:pPr>
      <w:r>
        <w:rPr>
          <w:rFonts w:ascii="Calibri" w:hAnsi="Calibri"/>
          <w:b/>
          <w:color w:val="4A6B25"/>
          <w:sz w:val="15"/>
        </w:rPr>
        <w:t xml:space="preserve">3. </w:t>
      </w:r>
      <w:r>
        <w:rPr>
          <w:rFonts w:ascii="Calibri" w:hAnsi="Calibri"/>
          <w:b w:val="0"/>
          <w:color w:val="3A4A28"/>
          <w:sz w:val="17"/>
        </w:rPr>
        <w:t>PMI Litigation — Foundation for a Smoke-Free World Propaganda Allegations, French Subsidiary Lawsuit, Philip Morris v. Uruguay, Historical RICO Case — The Examination, ExposeTobacco.org, DOJ, Tobacco Free Kids,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PM Key Statistics and Dividend History: Forward P/E 21.15x, Profit Margin 25.56%, Dividend Yield 3.03%,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