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PNAQ</w:t>
      </w:r>
      <w:r>
        <w:rPr>
          <w:rFonts w:ascii="Calibri" w:hAnsi="Calibri"/>
          <w:b/>
          <w:color w:val="1A2010"/>
          <w:sz w:val="40"/>
        </w:rPr>
        <w:t xml:space="preserve">  Pinnacle Acquisition Corporation</w:t>
      </w:r>
    </w:p>
    <w:p>
      <w:pPr>
        <w:spacing w:after="120"/>
      </w:pPr>
      <w:r>
        <w:rPr>
          <w:rFonts w:ascii="Calibri" w:hAnsi="Calibri"/>
          <w:b/>
          <w:color w:val="6E8450"/>
          <w:sz w:val="18"/>
        </w:rPr>
        <w:t>GROWTH SLEEVE · 2026-10-05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Shell Companies · NYSE · United States</w:t>
      </w:r>
    </w:p>
    <w:p>
      <w:pPr>
        <w:spacing w:after="80"/>
      </w:pPr>
      <w:r>
        <w:rPr>
          <w:rFonts w:ascii="Calibri" w:hAnsi="Calibri"/>
          <w:b w:val="0"/>
          <w:color w:val="3A4A28"/>
          <w:sz w:val="20"/>
        </w:rPr>
        <w:t>Pinnacle Acquisition Corporation is a blank check company (SPAC) formed on March 16, 2026 for the purpose of effecting a merger or business combination with one or more target businesses. The company completed a $200 million IPO on August 10, 2026, trading on the NYSE under the symbol PNAQ.U. Led by CEO Steven K. Hudson (former CEO of ECN Capital and Element Financial Corporation), the SPAC targets commercial finance, consumer finance, and ancillary financial services opportunities. The company has 21 months to complete a business combination. Headquartered in Palm Beach, Florida.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Pinnacle Acquisition Corporation is a one-week-old blank check company with no operating history, no products, no revenue, and no business operations [1]. While CEO Steven Hudson previously grew Element Financial Corporation from $400M to $24B in assets, that track record belongs to a prior entity and cannot be credited to this SPAC [2]. AI Deployment (0/2): No AI deployment or strategy — the company has no operations of any kind [1]. Market Share (0/2): Not applicable; the company is a pre-acquisition shell with no market presence in any industry [1]. Pipeline (1/2): The SPAC has a defined investment thesis targeting commercial finance, consumer finance, and fintech acquisitions, with $200M in trust capital and a 21-month window to execute a combination [1]. However, no specific targets have been identified publicly. R&amp;D Intensity (0/1): Not applicable to a shell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Pinnacle Acquisition has no mission, purpose, or vision statement beyond identifying and completing a business combination — the SPAC exists to make money for sponsors and shareholders through a financial transaction [1]. There is no articulated vision of a better future or purpose beyond capital deployment. Community Impact (0/2): No community programs, charitable giving, or social impact of any kind — the company has no operations [1]. Employee Retention (0/2): Not applicable; the company has no employees beyond the founding management team [1]. Insider Buying (1/2): CEO Hudson and the founding team have invested founder capital in the SPAC's sponsor entity, demonstrating some financial commitment to the vehicle, though SPAC sponsor economics heavily favor founders through promote structures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avg_daily_volume (16,367) × stock_price ($9.82) = $160,724, which is below the $1,000,000 liquidity threshold — Infrastructure score is automatically 0 [1]. No operating financial metrics exist for this SPAC. Revenue is $0, profit margin is 0%, ROE is undefined, and traditional financial metrics are not applicable to a blank check company. The $200M held in trust provides a floor value for shareholders but generates no operating returns. Forward P/E, PEG, and growth metrics are all undefined for a pre-revenue entity. The stock trades at $9.82, slightly below the $10.00 IPO price, reflecting typical SPAC discount in a market with hundreds of competing vehicles.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SPACs are structurally finite-game vehicles. Pinnacle Acquisition has a hard 21-month deadline to complete a business combination or return capital to shareholders — the very definition of playing to win within a fixed timeframe. The SPAC structure creates misaligned incentives where sponsors benefit from completing any deal (earning their promote) while shareholders bear the risk of overpaying. Until a target is identified and acquired, there is no organization, no culture, no cause, and no long-term orientation to evaluate.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Pinnacle Acquisition exists to identify and complete a business combination within 21 months — there is no Just Cause, no vision of a better future, and no purpose beyond financial transaction execution [1]. The company's prospectus language focuses on 'value creation,' 'accretive acquisitions,' and 'capital structure optimization,' which are purely financial objectives with no connection to a cause larger than shareholder returns [2]. This is a finite player by design.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There is no organization to assess. Pinnacle Acquisition has a management team of CEO Steven Hudson, CFO Jack Schneider, and four board members — no employees, no operational workforce, and no organizational culture [1]. The SPAC structure inherently creates a trust deficit between sponsors and public shareholders due to the promote structure that rewards deal completion regardless of quality.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Not applicable. Pinnacle Acquisition competes with hundreds of other SPACs for acquisition targets, but there is no evidence of an infinite competitive mindset, no acknowledgment of rivals' strengths, and no competitive improvement framework [1]. The SPAC market is a pure race to close deals before the redemption deadline.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is one week old and has never faced a strategic decision. The SPAC's 'flexibility' to acquire any business in any industry is structural optionality, not the kind of existential flexibility Sinek describes — it has never abandoned a successful business model in service of a larger cause [1]. The 21-month deadline actually constrains flexibility by forcing deal completion under time pressure.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leadership decisions have been made beyond pricing the IPO. CEO Steven Hudson's prior track record at Element Financial (growing from $400M to $24B in assets) and ECN Capital demonstrates deal-making capability, but no evidence of courageous long-term investment decisions or principled stances at the expense of short-term returns has been identified for this entity [2]. The SPAC sponsor economics incentivize deal completion over deal quality, which is the opposite of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Pinnacle Acquisition Corporation is a newly formed SPAC that completed a $200M IPO on August 10, 2026, trading at par ($10.00/unit) and led by CEO Steven Hudson, whose prior track record includes growing Element Financial from $400M to $24B in assets [2]. The SPAC targets commercial finance, consumer finance, and fintech — sectors where experienced operators can create value through consolidation, operational improvement, and capital structure optimization [1]. The $200M trust provides adequate capital for a mid-cap acquisition, and the 21-month timeline gives management a reasonable window to source and close a transaction. For SPAC investors, the $10.00 trust floor provides downside protection until the de-SPAC transaction, and the right to receive one-eighth of a Class A share upon combination provides modest additional upside [1].</w:t>
      </w:r>
    </w:p>
    <w:p>
      <w:pPr>
        <w:spacing w:after="120"/>
      </w:pPr>
      <w:r>
        <w:rPr>
          <w:rFonts w:ascii="Calibri" w:hAnsi="Calibri"/>
          <w:b w:val="0"/>
          <w:color w:val="3A4A28"/>
          <w:sz w:val="20"/>
        </w:rPr>
        <w:t>The bear case is overwhelming for an IOWN framework analysis. Pinnacle Acquisition has no revenue, no operations, no products, no employees, and no financial metrics by which to evaluate fundamental quality — it is a financial vehicle, not a business [1]. SPAC economics structurally favor sponsors over public shareholders through founder promotes, and the 21-month deal deadline creates pressure to complete transactions that may not meet quality thresholds. Historically, post-de-SPAC entities have significantly underperformed the market, with the average de-SPAC losing 50%+ of its value within two years of combination. The financial services acquisition focus places any eventual target in a sector facing significant AI disruption risk. Until a specific target is identified, investors are paying $10.00 for a management team's reputation and optionality — not for a business the IOWN framework can meaningfully evaluate. The Return on Intention framework fundamentally requires an operating business with a purpose, culture, and financial track record to assess.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Identification and announcement of a specific acquisition target in commercial finance or fintech could dramatically revalue the units if the target has strong fundamentals and growth characteristics</w:t>
      </w:r>
    </w:p>
    <w:p>
      <w:pPr>
        <w:spacing w:before="40" w:after="40"/>
        <w:ind w:left="283"/>
      </w:pPr>
      <w:r>
        <w:rPr>
          <w:rFonts w:ascii="Calibri" w:hAnsi="Calibri"/>
          <w:b/>
          <w:color w:val="4A6B25"/>
          <w:sz w:val="20"/>
        </w:rPr>
        <w:t xml:space="preserve">2. </w:t>
      </w:r>
      <w:r>
        <w:rPr>
          <w:rFonts w:ascii="Calibri" w:hAnsi="Calibri"/>
          <w:b w:val="0"/>
          <w:color w:val="3A4A28"/>
          <w:sz w:val="20"/>
        </w:rPr>
        <w:t>Steven Hudson's deep relationships in financial services and track record of building Element Financial to $24B in assets provides credible sourcing capability for attractive targets</w:t>
      </w:r>
    </w:p>
    <w:p>
      <w:pPr>
        <w:spacing w:before="40" w:after="40"/>
        <w:ind w:left="283"/>
      </w:pPr>
      <w:r>
        <w:rPr>
          <w:rFonts w:ascii="Calibri" w:hAnsi="Calibri"/>
          <w:b/>
          <w:color w:val="4A6B25"/>
          <w:sz w:val="20"/>
        </w:rPr>
        <w:t xml:space="preserve">3. </w:t>
      </w:r>
      <w:r>
        <w:rPr>
          <w:rFonts w:ascii="Calibri" w:hAnsi="Calibri"/>
          <w:b w:val="0"/>
          <w:color w:val="3A4A28"/>
          <w:sz w:val="20"/>
        </w:rPr>
        <w:t>SPAC trust floor of $10.00/unit provides downside protection for risk-averse investors until the de-SPAC vote, with upside optionality if a high-quality target is announced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No operating business exists to evaluate — investors are speculating on management's ability to identify, negotiate, and close an attractive acquisition within 21 months, with zero visibility into the eventual target's quality</w:t>
      </w:r>
    </w:p>
    <w:p>
      <w:pPr>
        <w:spacing w:before="40" w:after="40"/>
        <w:ind w:left="283"/>
      </w:pPr>
      <w:r>
        <w:rPr>
          <w:rFonts w:ascii="Calibri" w:hAnsi="Calibri"/>
          <w:b/>
          <w:color w:val="4A6B25"/>
          <w:sz w:val="20"/>
        </w:rPr>
        <w:t xml:space="preserve">2. </w:t>
      </w:r>
      <w:r>
        <w:rPr>
          <w:rFonts w:ascii="Calibri" w:hAnsi="Calibri"/>
          <w:b w:val="0"/>
          <w:color w:val="3A4A28"/>
          <w:sz w:val="20"/>
        </w:rPr>
        <w:t>SPAC sponsor economics create structural misalignment: the founding team's promote (typically 20% of post-deal equity) incentivizes deal completion regardless of whether the target meets IOWN quality standards</w:t>
      </w:r>
    </w:p>
    <w:p>
      <w:pPr>
        <w:spacing w:before="40" w:after="40"/>
        <w:ind w:left="283"/>
      </w:pPr>
      <w:r>
        <w:rPr>
          <w:rFonts w:ascii="Calibri" w:hAnsi="Calibri"/>
          <w:b/>
          <w:color w:val="4A6B25"/>
          <w:sz w:val="20"/>
        </w:rPr>
        <w:t xml:space="preserve">3. </w:t>
      </w:r>
      <w:r>
        <w:rPr>
          <w:rFonts w:ascii="Calibri" w:hAnsi="Calibri"/>
          <w:b w:val="0"/>
          <w:color w:val="3A4A28"/>
          <w:sz w:val="20"/>
        </w:rPr>
        <w:t>Post-de-SPAC performance historically averages significant underperformance versus the market, with many financial services SPACs trading well below trust value within 12-24 months of combination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Pinnacle Acquisition has no operating business, making AI disruption risk impossible to assess directly. However, the SPAC's stated target sectors — commercial finance, consumer finance, and fintech — face meaningful AI exposure [2]. Lending, underwriting, credit scoring, and consumer financial services are among the most actively disrupted sectors by AI, with automated underwriting, AI-driven fraud detection, and robo-advisory services already displacing traditional financial intermediaries. If the eventual target operates in traditional lending or financial advisory, it could face significant AI substitution risk. However, if the target is itself a fintech or AI-native financial services company, the risk profile inverts entirely. Given the 50/50 uncertainty, a neutral score is appropriate [2]. AI Opportunity (0/1): No AI revenue — the company has no revenue of any kind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Pinnacle Acquisition Corporation $200M IPO Completion — GlobeNewsWire,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Pinnacle Acquisition Corporation Prospectus, Leadership Team, and Target Focus — Renaissance Capital, StockTitan, BoardroomAlpha,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