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PNC</w:t>
      </w:r>
      <w:r>
        <w:rPr>
          <w:rFonts w:ascii="Calibri" w:hAnsi="Calibri"/>
          <w:b/>
          <w:color w:val="1A2010"/>
          <w:sz w:val="40"/>
        </w:rPr>
        <w:t xml:space="preserve">  The PNC Financial Services Group, Inc.</w:t>
      </w:r>
    </w:p>
    <w:p>
      <w:pPr>
        <w:spacing w:after="120"/>
      </w:pPr>
      <w:r>
        <w:rPr>
          <w:rFonts w:ascii="Calibri" w:hAnsi="Calibri"/>
          <w:b/>
          <w:color w:val="6E8450"/>
          <w:sz w:val="18"/>
        </w:rPr>
        <w:t>DIVIDEND SLEEVE · 2026-09-06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The PNC Financial Services Group, Inc. operates as a diversified financial services company through Retail Banking, Corporate &amp; Institutional Banking, and Asset Management Group segments. Under CEO Bill Demchak (since 2013), PNC sold its ~$17B BlackRock stake and transformed into a national bank through the $11.6B BBVA USA acquisition (2021) and FirstBank acquisition (2026). Q2 2026 delivered record quarterly revenue of $6.88B (up 21% YoY), net income of $2.06B, and EPS of $4.81, with capital markets revenue surging 80%. FY2025 net income was $7.0B with EPS of $16.59. PNC holds $458B+ in deposits as one of the top 7 US banks by assets.</w:t>
      </w:r>
    </w:p>
    <w:p>
      <w:r>
        <w:rPr>
          <w:rFonts w:ascii="Calibri" w:hAnsi="Calibri"/>
          <w:b/>
          <w:color w:val="6E8450"/>
          <w:sz w:val="18"/>
        </w:rPr>
        <w:t>56,366 Employees · https://www.pnc.com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PNC has executed two transformative M&amp;A deals in five years — the $11.6B BBVA USA acquisition in 2021 and the FirstBank acquisition in 2026 — while simultaneously divesting its ~$17B BlackRock stake [1]. This strategic pivot fundamentally redefined PNC from a super-regional bank with a financial investment kicker to a pure national banking platform with $458B+ in deposits. Capital markets revenue surged 80% to $577M in Q2 2026 with record M&amp;A advisory fees, demonstrating successful diversification of revenue streams [2]. AI Deployment (1/2): PNC deploys AI-powered tools across fraud detection, customer service chatbots, virtual wallet technology, and operational analytics. CEO Demchak takes a 'prudent innovation' approach, prioritizing stability and customer trust over speed-to-market [3]. No specific AI revenue has been separately quantified. Market Share (2/2): PNC is one of the top 7 US banks by assets with $458B+ deposits post-FirstBank, holding dominant regional positions across the Mid-Atlantic and Southeast. Average loans increased 13% and deposits 8% in Q2 2026 [2]. Product Pipeline (1/2): FirstBank integration and digital banking expansion provide near-term growth visibility, though no specific next-generation products have been announced with discrete timelines. R&amp;D Intensity (0/1): Banking industry generally has below-average R&amp;D intensity relative to technology sectors.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PNC's mission of moving customers 'from where they are to where they want to be financially' is clear and identifies the company's purpose, but is interchangeable with any large bank's purpose statement — not distinctively purposeful or inspiring beyond the standard financial services framing [3]. Community Impact (1/2): PNC operates significant community programs including the PNC Foundation, an $88B Community Benefits Plan, and the Grow Up Great early childhood education initiative (since 2004), demonstrating genuine community investment with specific programs and dollar amounts. However, the Community Benefits Plan substantially overlaps with CRA regulatory requirements [4]. Employee Retention (1/2): CEO Bill Demchak has led since 2013 — 13 years of consistent leadership providing strategic continuity through BBVA, FirstBank integrations, and multiple rate cycles. Approximately 56,000 employees with stable operations [3]. Insider Buying (0/2): No notable net insider buying identified beyond standard equity compensation.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excluded for banks (deposit-taking model makes standard D/E inapplicable). Q2 2026 delivered record revenue of $6.88B (up 21% YoY) with net income of $2.06B and EPS of $4.81 [2]. Forward P/E of 11.44 is well below the 20 target, scoring maximum [5]. ROE of 11.49% scores 0.77, the only metric below maximum — a structural feature of large banks with heavy regulatory capital requirements [5]. Profit margin of 29.17% exceeds the 20% target, scoring maximum [5]. Revenue growth of ~18% TTM exceeds the 10% target, scoring maximum, driven by FirstBank contribution and 80% capital markets revenue surge [2]. Payout ratio of 41% is near the 40% target (0.98). Dividend history is exceptional: 30+ consecutive years of payments, 14 consecutive years of growth, and ~10% 5-year CAGR — all scoring maximum on 2x-weighted dividend metrics. Calculation: ROE 0.77(1x) + RevGr 1.0(1x) + FwdPE 1.0(1x) + PM 1.0(1x) + PayRatio 0.98(1x) + YrsPaid 1.0(2x) + YrsGrowth 1.0(1x) + DivGr 1.0(2x) = 9.75/10 → 10. Liquidity: ~$508M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PNC under CEO Bill Demchak demonstrates moderate infinite game thinking. The courageous decision to sell PNC's $17B BlackRock stake and redeploy into the $11.6B BBVA USA acquisition represents the kind of painful strategic pivot Sinek valorizes — abandoning a highly profitable passive investment to pursue uncertain operational expansion in service of a national banking vision. Demchak's 13-year tenure and 14 consecutive years of dividend growth reflect patient capital allocation. However, PNC's competitive positioning is primarily about scale and efficiency rather than a transformative purpose, and the company's language around being the 'prime alternative' to Big Four banks is fundamentally competitive rather than cause-driven.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PNC's purpose of helping customers reach their financial goals is genuine but generic — it describes what any bank does rather than an inspiring future state [3]. CEO Demchak's strategic vision of becoming the 'prime alternative' to Big Four banks is an ambitious competitive goal, not a Just Cause in Sinek's framework. The Grow Up Great early childhood education program is distinctive and purpose-driven, but it's a CSR program rather than the company's core identity.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Demchak's 13-year tenure has created leadership stability and consistent strategic direction through multiple rate cycles and two transformative acquisitions [3]. PNC is generally regarded as a well-managed institution with a conservative culture — Demchak's 'conservative aggression' philosophy creates a clear decision-making framework. However, the FirstBank integration creates temporary organizational stress, and no specific employee retention or engagement data distinguishes PNC from banking peers.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PNC consistently positions itself relative to JPMorgan, Bank of America, and other money-center banks, explicitly acknowledging their scale advantages while articulating how PNC's regional expertise and customer service create differentiation [3]. Demchak's framing of PNC as the 'prime alternative' implicitly acknowledges rivals' strengths rather than seeking to destroy them, focusing competitive energy on self-improvement and capability expansion.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PNC's strategic reinvention from a super-regional bank with a ~$17B passive BlackRock stake to a pure national banking platform is a textbook Sinek example of existential flexibility [1]. Selling the BlackRock position — one of the most profitable passive investments in corporate America — required abandoning what was working to pursue a riskier, operationally demanding national expansion through the $11.6B BBVA USA acquisition. This was not a desperate pivot but a strategic choice driven by Demchak's conviction that scale is necessary for long-term survival in banking. The FirstBank acquisition in 2026 extends this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Demchak's sale of PNC's ~$17B BlackRock stake and redeployment into the BBVA USA acquisition during COVID represented genuine courage — sacrificing certain, highly profitable passive income for uncertain integration execution during a pandemic [1]. The $3.9B returned to shareholders in 2025 (through dividends and buybacks) alongside continued growth investment shows balanced long-term conviction. However, no evidence of Demchak making costly principled stands or walking away from profitable but misaligned businesses beyond the BlackRock/BBVA decision.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PNC delivered record Q2 2026 results with $6.88B revenue (up 21% YoY), net income of $2.06B, and EPS of $4.81 — a 25% increase driven by the FirstBank acquisition and an 80% surge in capital markets revenue to $577M with record M&amp;A advisory fees [2]. At 11.44x forward earnings with a 2.77% dividend yield backed by 14 consecutive years of growth and a manageable 41% payout ratio, PNC offers compelling income plus growth value for a top-7 US bank [5]. Average loans increased 13% and deposits 8% in Q2, demonstrating strong organic growth alongside the acquisition benefit. FY2025 net income of $7.0B with $16.59 EPS and $3.9B returned to shareholders confirms the financial strength that supports PNC's national expansion strategy. CEO Demchak's 'conservative aggression' philosophy has compounded book value while completing two transformative acquisitions in five years [1].</w:t>
      </w:r>
    </w:p>
    <w:p>
      <w:pPr>
        <w:spacing w:after="120"/>
      </w:pPr>
      <w:r>
        <w:rPr>
          <w:rFonts w:ascii="Calibri" w:hAnsi="Calibri"/>
          <w:b w:val="0"/>
          <w:color w:val="3A4A28"/>
          <w:sz w:val="20"/>
        </w:rPr>
        <w:t>The bear case centers on acquisition-driven growth masking organic fundamentals and rising competitive pressure. The 21% Q2 revenue growth includes the FirstBank contribution — organic growth is materially lower and harder to assess during integration [2]. Integration costs are significant (approximately $98M in Q1 alone), and achieving projected synergies requires successful customer retention and systems migration across overlapping markets. ROE of 11.49% remains below the 15% target, a structural feature of banks carrying heavy regulatory capital but also a drag on return on investor capital [5]. The PEG ratio of 1.95 suggests the stock is not cheap relative to its growth rate. Regional banking faces persistent competitive pressure from fintech disruptors, money-center banks expanding digitally, and potential credit quality deterioration in commercial real estate portfolios where office vacancy rates remain elevated. The Inspire Impact Score of -49 (MISALIGNED due to LGBT Activism) may limit faith-based allocation despite strong community investment programs.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FirstBank integration synergies driving cost savings and revenue expansion across an enlarged national footprint, with capital markets revenue already surging 80% to $577M in Q2 2026 on record M&amp;A advisory fees [2]</w:t>
      </w:r>
    </w:p>
    <w:p>
      <w:pPr>
        <w:spacing w:before="40" w:after="40"/>
        <w:ind w:left="283"/>
      </w:pPr>
      <w:r>
        <w:rPr>
          <w:rFonts w:ascii="Calibri" w:hAnsi="Calibri"/>
          <w:b/>
          <w:color w:val="4A6B25"/>
          <w:sz w:val="20"/>
        </w:rPr>
        <w:t xml:space="preserve">2. </w:t>
      </w:r>
      <w:r>
        <w:rPr>
          <w:rFonts w:ascii="Calibri" w:hAnsi="Calibri"/>
          <w:b w:val="0"/>
          <w:color w:val="3A4A28"/>
          <w:sz w:val="20"/>
        </w:rPr>
        <w:t>NIM expansion with further upside potential as the rate environment evolves, driving net interest income growth beyond the initial ~14.5% full-year guidance that appears conservative given H1 momentum [1]</w:t>
      </w:r>
    </w:p>
    <w:p>
      <w:pPr>
        <w:spacing w:before="40" w:after="40"/>
        <w:ind w:left="283"/>
      </w:pPr>
      <w:r>
        <w:rPr>
          <w:rFonts w:ascii="Calibri" w:hAnsi="Calibri"/>
          <w:b/>
          <w:color w:val="4A6B25"/>
          <w:sz w:val="20"/>
        </w:rPr>
        <w:t xml:space="preserve">3. </w:t>
      </w:r>
      <w:r>
        <w:rPr>
          <w:rFonts w:ascii="Calibri" w:hAnsi="Calibri"/>
          <w:b w:val="0"/>
          <w:color w:val="3A4A28"/>
          <w:sz w:val="20"/>
        </w:rPr>
        <w:t>Dividend growth trajectory — 14 consecutive years of increases with a 41% payout ratio and $7.0B+ annual net income providing substantial capacity for continued 8-10% annual dividend raises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FirstBank integration carries execution risk with significant costs (~$98M in Q1 alone) and the challenge of retaining customers across overlapping markets while migrating systems — failure to achieve synergies would compress returns on the acquisition capital [2]</w:t>
      </w:r>
    </w:p>
    <w:p>
      <w:pPr>
        <w:spacing w:before="40" w:after="40"/>
        <w:ind w:left="283"/>
      </w:pPr>
      <w:r>
        <w:rPr>
          <w:rFonts w:ascii="Calibri" w:hAnsi="Calibri"/>
          <w:b/>
          <w:color w:val="4A6B25"/>
          <w:sz w:val="20"/>
        </w:rPr>
        <w:t xml:space="preserve">2. </w:t>
      </w:r>
      <w:r>
        <w:rPr>
          <w:rFonts w:ascii="Calibri" w:hAnsi="Calibri"/>
          <w:b w:val="0"/>
          <w:color w:val="3A4A28"/>
          <w:sz w:val="20"/>
        </w:rPr>
        <w:t>21% Q2 revenue growth masks potentially weaker organic trends — stripping out FirstBank contribution, underlying growth may be mid-single-digits, which is insufficient to justify the current multiple if acquisition-driven momentum fades [2]</w:t>
      </w:r>
    </w:p>
    <w:p>
      <w:pPr>
        <w:spacing w:before="40" w:after="40"/>
        <w:ind w:left="283"/>
      </w:pPr>
      <w:r>
        <w:rPr>
          <w:rFonts w:ascii="Calibri" w:hAnsi="Calibri"/>
          <w:b/>
          <w:color w:val="4A6B25"/>
          <w:sz w:val="20"/>
        </w:rPr>
        <w:t xml:space="preserve">3. </w:t>
      </w:r>
      <w:r>
        <w:rPr>
          <w:rFonts w:ascii="Calibri" w:hAnsi="Calibri"/>
          <w:b w:val="0"/>
          <w:color w:val="3A4A28"/>
          <w:sz w:val="20"/>
        </w:rPr>
        <w:t>Commercial real estate exposure creates credit quality risk in an environment of persistently elevated office vacancy rates and refinancing challenges, with potential for loss provisioning to rise if the CRE downturn deepens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PNC's core banking business has meaningful AI defensive moats — regulatory requirements (Fed, OCC, FDIC oversight), customer switching costs, physical branch network, and the complexity of commercial lending relationships create barriers AI cannot easily displace [3]. CEO Demchak dismissed AI-driven deposit flight concerns at a Morgan Stanley investor conference, expressing confidence in PNC's relationship-based model [3]. However, fintech competitors with AI-native platforms are capturing market share in consumer banking, payments, and small business lending. Basic transaction processing and simple lending are increasingly automated, and AI-native neobanks pose a long-term structural threat to the retail deposit franchise. AI Opportunity (1/1): PNC generates measurable value from AI through fraud detection systems, virtual wallet technology, customer service automation, and operational analytics that contribute to the improved NIM and cost management. PNC's 'prudent innovation' philosophy positions AI as an efficiency tool rather than a revenue driver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PNC Full Year 2025 Results — $7.0B Net Income, $16.59 Diluted EPS, $3.9B Capital Returned to Shareholders — PNC Investor Relations, January 2026</w:t>
      </w:r>
    </w:p>
    <w:p>
      <w:pPr>
        <w:spacing w:before="20" w:after="20"/>
        <w:ind w:left="170"/>
      </w:pPr>
      <w:r>
        <w:rPr>
          <w:rFonts w:ascii="Calibri" w:hAnsi="Calibri"/>
          <w:b/>
          <w:color w:val="4A6B25"/>
          <w:sz w:val="15"/>
        </w:rPr>
        <w:t xml:space="preserve">2. </w:t>
      </w:r>
      <w:r>
        <w:rPr>
          <w:rFonts w:ascii="Calibri" w:hAnsi="Calibri"/>
          <w:b w:val="0"/>
          <w:color w:val="3A4A28"/>
          <w:sz w:val="17"/>
        </w:rPr>
        <w:t>PNC Q2 2026 Earnings — Record Revenue $6.88B (up 21% YoY), Net Income $2.06B, EPS $4.81 (up 25%), Capital Markets Revenue $577M (up 80%) — Yahoo Finance, PNC Investor Relations, July 2026</w:t>
      </w:r>
    </w:p>
    <w:p>
      <w:pPr>
        <w:spacing w:before="20" w:after="20"/>
        <w:ind w:left="170"/>
      </w:pPr>
      <w:r>
        <w:rPr>
          <w:rFonts w:ascii="Calibri" w:hAnsi="Calibri"/>
          <w:b/>
          <w:color w:val="4A6B25"/>
          <w:sz w:val="15"/>
        </w:rPr>
        <w:t xml:space="preserve">3. </w:t>
      </w:r>
      <w:r>
        <w:rPr>
          <w:rFonts w:ascii="Calibri" w:hAnsi="Calibri"/>
          <w:b w:val="0"/>
          <w:color w:val="3A4A28"/>
          <w:sz w:val="17"/>
        </w:rPr>
        <w:t>PNC CEO Bill Demchak Leadership Philosophy — 'Conservative Aggression', 'Prime Alternative' to Big Four, AI Prudent Innovation — Banking Dive, Built In, Klover.ai, 2025-2026</w:t>
      </w:r>
    </w:p>
    <w:p>
      <w:pPr>
        <w:spacing w:before="20" w:after="20"/>
        <w:ind w:left="170"/>
      </w:pPr>
      <w:r>
        <w:rPr>
          <w:rFonts w:ascii="Calibri" w:hAnsi="Calibri"/>
          <w:b/>
          <w:color w:val="4A6B25"/>
          <w:sz w:val="15"/>
        </w:rPr>
        <w:t xml:space="preserve">4. </w:t>
      </w:r>
      <w:r>
        <w:rPr>
          <w:rFonts w:ascii="Calibri" w:hAnsi="Calibri"/>
          <w:b w:val="0"/>
          <w:color w:val="3A4A28"/>
          <w:sz w:val="17"/>
        </w:rPr>
        <w:t>PNC ESG Initiatives — Nuclear Weapons Finance Proposal, Community Benefits Plan, Risk Committee Climate Oversight — SEC Filings, Yahoo Finance ESG, 2022-2026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PNC Key Statistics: Forward P/E 11.44, ROE 11.49%, Profit Margin 29.17%, Stock Price $245.60,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