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PNFP</w:t>
      </w:r>
      <w:r>
        <w:rPr>
          <w:rFonts w:ascii="Calibri" w:hAnsi="Calibri"/>
          <w:b/>
          <w:color w:val="1A2010"/>
          <w:sz w:val="40"/>
        </w:rPr>
        <w:t xml:space="preserve">  Pinnacle Financial Partners, Inc.</w:t>
      </w:r>
    </w:p>
    <w:p>
      <w:pPr>
        <w:spacing w:after="120"/>
      </w:pPr>
      <w:r>
        <w:rPr>
          <w:rFonts w:ascii="Calibri" w:hAnsi="Calibri"/>
          <w:b/>
          <w:color w:val="6E8450"/>
          <w:sz w:val="18"/>
        </w:rPr>
        <w:t>GROWTH SLEEVE · 2026-09-16 · Inspire: 48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States</w:t>
      </w:r>
    </w:p>
    <w:p>
      <w:pPr>
        <w:spacing w:after="80"/>
      </w:pPr>
      <w:r>
        <w:rPr>
          <w:rFonts w:ascii="Calibri" w:hAnsi="Calibri"/>
          <w:b w:val="0"/>
          <w:color w:val="3A4A28"/>
          <w:sz w:val="20"/>
        </w:rPr>
        <w:t>Pinnacle Financial Partners is a bank holding company operating through Pinnacle Bank, providing commercial and consumer banking, wealth management, and advisory services across the Southeastern United States. Following its January 1, 2026 merger with Synovus Financial Corp., the combined entity manages approximately $119B in assets, $88.1B in loans, and over $100B in deposits, making it one of the largest regional banks in the Southeast. Q2 2026 adjusted EPS of $2.50 with revenue of $1.14B. Targeting 2026 loan growth of 9-11% and adjusted revenue of $5.0B-$5.2B. Ranked #12 on Fortune 100 Best Companies to Work For for the 10th consecutive year.</w:t>
      </w:r>
    </w:p>
    <w:p>
      <w:r>
        <w:rPr>
          <w:rFonts w:ascii="Calibri" w:hAnsi="Calibri"/>
          <w:b/>
          <w:color w:val="6E8450"/>
          <w:sz w:val="18"/>
        </w:rPr>
        <w:t>8,433 Employees · https://www.pnfp.com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Synovus merger (closed January 1, 2026) transformed Pinnacle from a $50B mid-size bank into a $119B Southeast banking powerhouse with dominant positions across Nashville, Atlanta, Georgia, and the Carolinas [1]. Q2 2026 delivered adjusted EPS of $2.50, revenue of $1.14B, and period-end loans of $88.1B (+$2.9B or +3% QoQ), demonstrating strong post-merger execution [1]. Pre-merger organic revenue grew 20.5% in 2025 to $1.95B, validating momentum independent of the acquisition. This is a defining business transformation but represents consolidation-driven growth rather than innovative product launches. AI Deployment (1/2): Through the Synovus merger, Pinnacle inherited SynovusGPT, an internal generative AI tool built in August 2023 for employee productivity, and appointed Kevin Johnson as head of AI and automation for the combined bank [2]. CEO Kevin Blair has publicly discussed AI's impact on banking and the company publishes AI strategy guidance emphasizing workflow redesign around AI tools. Market Share (2/2): Post-merger, Pinnacle is a category leader in Southeast commercial banking with $88.1B in loans, dominant positions in Nashville, Atlanta, and the Carolinas, and ranks among the largest regional banks nationally [1]. The combined franchise's $100B+ deposit base and $119B asset footprint create a Southeast banking champion. Product Pipeline (0/2): No specific next-generation product announcements with defined timelines beyond integration milestones and systems conversion planned for March 2027. R&amp;D Intensity (1/1): Pinnacle's investment in fintech through the gener8tor Innovation Accelerator in Atlanta and the dedicated AI and automation team demonstrate above-average commitment to innovation for a regional bank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Pinnacle's purpose centers on building a firm where the best bankers want to work and clients receive extraordinary service — a distinctive, talent-first banking model consistently validated since the company's founding in 2000 [2]. The purpose shapes hiring decisions, compensation structures, and the autonomy granted to relationship managers. The Synovus merger was explicitly framed as extending this culture model across a larger footprint, not abandoning it. Community Impact (2/2): Pinnacle committed $1.7B to investments, lending, and grants for low-to-moderate-income housing, small business, and minority-owned institutions [3]. Coalition Greenwich recognized Pinnacle as a Standout Commercial Bank for Demonstrated Commitment to ESG Principles and Values — one of just five banks nationally in the small business segment and one of three in the commercial segment [3]. Employee Retention (2/2): Ranked No. 12 on Fortune's 100 Best Companies to Work For in 2026, the company's 10th consecutive year on the list — extraordinary evidence of sustained culture excellence for a financial institution [2]. Great Place to Work certified with Glassdoor rating of 4.1/5, culture rated 4.1, and work-life balance 4.1. The relationship-manager-as-independent-advisor model creates the organizational empowerment and trust that drives retention. Insider Buying (0/2): No evidence of meaningful net insider buying in recent filings. Insiders hold only 1.27% of shares. CEO Kevin Blair and other executives received equity compensation grants but no significant open-market purchases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Q2 2026 delivered adjusted EPS of $2.50 ($2.07 GAAP) with $1.14B revenue and net interest income of $956M (+2% QoQ) [1]. Forward P/E of 8.65x is deeply discounted versus the 20x target and regional bank peers at 10-13x, reflecting post-merger integration uncertainty that creates a value opportunity. PEG ratio of 1.41 is above the 1.0 target. Profit margin of 24.86% exceeds the 20% target, demonstrating efficient operations for a diversified banking franchise. ROE of 7.65% is significantly below the 15% target — compressed by the Synovus merger's equity dilution and goodwill creation, expected to normalize above 12% as cost synergies are realized [1]. D/E is not reported for banks (null). Revenue growth 5yr CAGR of approximately 14.9% exceeds the 10% target, reflecting strong pre-merger organic momentum. The stock trades at just 1.06x book value ($93.35), providing a substantial margin of safety. Management guides 9-11% loan growth, adjusted revenue of $5.0B-$5.2B, and up to $400M in share repurchases for 2026 [1]. Liquidity floor easily cleared at ~$113M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Pinnacle Financial Partners exemplifies infinite game thinking in regional banking — building a culture-first institution where the best bankers want to work, then trusting those bankers to build deep client relationships. Fortune's #12 Best Company ranking for the 10th consecutive year provides extraordinary validation. The Synovus merger was driven by strategic vision to create a Southeast banking champion while preserving Pinnacle's distinctive culture, not by short-term earnings optimization. The 26% stock price decline from $135 to $99.34 tests this infinite mindset, and management's response — maintaining guidance, continuing dividends, and executing the integration plan — reflects patience over panic.</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Pinnacle's purpose of creating the best place for bankers to work and clients to bank is genuinely distinctive and has been consistently validated since the company's founding in 2000 [2]. Strategic decisions — including the transformative Synovus merger — clearly trace back to this talent-first cause. CEO Kevin Blair framed the combination as extending Pinnacle's culture across a larger footprint, not just achieving scale. The purpose is specific enough to drive behavior across hiring, compensation, and client service. However, the cause hasn't been tested through multi-decade crises or multiple leadership transitions to earn full marks.</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Pinnacle is ranked No. 12 on Fortune's 100 Best Companies to Work For for the 10th consecutive year, with employees overwhelmingly affirming it is a great place to work [2]. Glassdoor rating of 4.1/5 with culture rated 4.1/5 and work-life balance 4.1/5 confirms the institutional data. The model of empowering relationship managers to operate as quasi-independent advisors with institutional backing creates the psychological safety Sinek describes — bankers are trusted to manage client relationships with autonomy. Maintaining this culture through the massive Synovus integration demonstrates genuine commitment to trust over efficiency.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Pinnacle's merger with Synovus demonstrates an infinite competitive mindset — rather than viewing Synovus as a rival to defeat, leadership recognized Synovus's complementary strengths (AI capabilities via SynovusGPT, Georgia market depth, commercial banking expertise) and combined forces to create a stronger institution [1]. Management language consistently focuses on building the best banking franchise in the Southeast through talent acquisition and cultural excellence, not market share warfare against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Synovus merger represents meaningful strategic evolution — transforming from a Nashville-centric $50B bank to a $119B Southeast champion in a single strategic move [1]. This required redefining the company's geographic scope, organizational structure, and competitive position. The willingness to integrate a company nearly as large as itself — with different technology platforms, market geographies, and organizational DNA — demonstrates strategic flexibility. However, the core business model (relationship banking with empowered advisors) remains unchanged, making this a significant extension rather than a reinvention.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Synovus merger required exceptional courage — risking the tight-knit culture that made Pinnacle special (#12 Fortune Best Company) by more than doubling in size and integrating a $60B+ asset institution [1]. CEO Kevin Blair committed to preserving the relationship-driven model rather than defaulting to aggressive cost-cutting integration playbooks that typically follow bank mergers. Pinnacle's consistent investment in culture — resulting in 10 consecutive years on Fortune's Best Companies list at the expense of near-term efficiency ratios — demonstrates a pattern of choosing organizational capability over short-term earnings optimization [2]. Maintaining the $0.50/quarter dividend and $400M buyback authorization despite the 26% stock decline shows conviction in the long-term integration thesis.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Pinnacle Financial Partners delivered a solid Q2 2026 as the combined Pinnacle-Synovus entity, posting adjusted EPS of $2.50 ($2.07 GAAP) with revenue of $1.14B, net interest income of $956M (+2% QoQ), and period-end loans of $88.1B (+3% QoQ) [1]. Management reaffirmed 2026 guidance of 9-11% loan growth and adjusted revenue of $5.0B-$5.2B with $400M in authorized share repurchases. At $99.34 with a forward P/E of just 8.65x — significantly below regional bank peers — and a price-to-book of 1.06x, the market is pricing in excessive integration risk that Pinnacle's exceptional culture track record suggests it will navigate successfully. The company's #12 ranking on Fortune's 100 Best Companies to Work For (10th consecutive year) creates a durable competitive moat where talent attraction and retention IS the product [2]. The $1.7B community investment commitment and Coalition Greenwich ESG recognition demonstrate genuine stakeholder alignment [3].</w:t>
      </w:r>
    </w:p>
    <w:p>
      <w:pPr>
        <w:spacing w:after="120"/>
      </w:pPr>
      <w:r>
        <w:rPr>
          <w:rFonts w:ascii="Calibri" w:hAnsi="Calibri"/>
          <w:b w:val="0"/>
          <w:color w:val="3A4A28"/>
          <w:sz w:val="20"/>
        </w:rPr>
        <w:t>The bear case centers on merger integration complexity, ROE compression, and valuation risk. The stock has declined 26% from its July 2026 level of $135, reflecting market anxiety about integrating two distinct banking cultures and technology platforms across $119B in assets — systems and brand conversions are not expected until March 2027, leaving dual-platform operations [1]. ROE of 7.65% has compressed further from 9.44% due to merger-related equity dilution and goodwill, and must recover toward 12%+ to justify the growth valuation; failure to achieve cost synergies would make this compression structural. GAAP EPS of $2.07 vs adjusted EPS of $2.50 in Q2 2026 highlights significant merger-related charges still flowing through the income statement. Southeast commercial real estate concentration poses risk as office and retail vacancies rise in some metros. The larger $119B asset base triggers heightened regulatory scrutiny, potentially requiring higher compliance spending that pressures efficiency ratios. Some Glassdoor reviewers cite post-merger cultural friction, warning that 'Pinnacle leadership share a great story however it's all false' — a risk that the distinctive culture erodes under the weight of integration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Realization of merger cost synergies through 2026-2027 expected to drive ROE recovery from 7.65% toward 12%+ and narrow the 8.65x forward P/E discount to regional bank peers trading at 10-13x [1]</w:t>
      </w:r>
    </w:p>
    <w:p>
      <w:pPr>
        <w:spacing w:before="40" w:after="40"/>
        <w:ind w:left="283"/>
      </w:pPr>
      <w:r>
        <w:rPr>
          <w:rFonts w:ascii="Calibri" w:hAnsi="Calibri"/>
          <w:b/>
          <w:color w:val="4A6B25"/>
          <w:sz w:val="20"/>
        </w:rPr>
        <w:t xml:space="preserve">2. </w:t>
      </w:r>
      <w:r>
        <w:rPr>
          <w:rFonts w:ascii="Calibri" w:hAnsi="Calibri"/>
          <w:b w:val="0"/>
          <w:color w:val="3A4A28"/>
          <w:sz w:val="20"/>
        </w:rPr>
        <w:t>Loan growth guidance of 9-11% with $88.1B loan base creating significant earning asset expansion across the dominant Southeast franchise — each percentage point of loan growth adds approximately $30-40M in net interest income [1]</w:t>
      </w:r>
    </w:p>
    <w:p>
      <w:pPr>
        <w:spacing w:before="40" w:after="40"/>
        <w:ind w:left="283"/>
      </w:pPr>
      <w:r>
        <w:rPr>
          <w:rFonts w:ascii="Calibri" w:hAnsi="Calibri"/>
          <w:b/>
          <w:color w:val="4A6B25"/>
          <w:sz w:val="20"/>
        </w:rPr>
        <w:t xml:space="preserve">3. </w:t>
      </w:r>
      <w:r>
        <w:rPr>
          <w:rFonts w:ascii="Calibri" w:hAnsi="Calibri"/>
          <w:b w:val="0"/>
          <w:color w:val="3A4A28"/>
          <w:sz w:val="20"/>
        </w:rPr>
        <w:t>Up to $400M in share repurchases at current depressed prices ($99.34, 1.06x book) providing significant per-share value accretion, combined with $0.50/quarter dividend providing 2.01% yield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Merger integration execution risk — combining $119B in assets, two technology platforms (systems conversion not until March 2027), and distinct banking cultures could result in banker attrition, client loss, or higher-than-expected costs; some Glassdoor reviews already cite post-merger cultural concerns [1][2]</w:t>
      </w:r>
    </w:p>
    <w:p>
      <w:pPr>
        <w:spacing w:before="40" w:after="40"/>
        <w:ind w:left="283"/>
      </w:pPr>
      <w:r>
        <w:rPr>
          <w:rFonts w:ascii="Calibri" w:hAnsi="Calibri"/>
          <w:b/>
          <w:color w:val="4A6B25"/>
          <w:sz w:val="20"/>
        </w:rPr>
        <w:t xml:space="preserve">2. </w:t>
      </w:r>
      <w:r>
        <w:rPr>
          <w:rFonts w:ascii="Calibri" w:hAnsi="Calibri"/>
          <w:b w:val="0"/>
          <w:color w:val="3A4A28"/>
          <w:sz w:val="20"/>
        </w:rPr>
        <w:t>ROE compression from Synovus equity dilution — current 7.65% ROE is well below cost of equity, and failure to realize cost synergies would make the compression permanent rather than transitional, justifying the 1.06x book value discount</w:t>
      </w:r>
    </w:p>
    <w:p>
      <w:pPr>
        <w:spacing w:before="40" w:after="40"/>
        <w:ind w:left="283"/>
      </w:pPr>
      <w:r>
        <w:rPr>
          <w:rFonts w:ascii="Calibri" w:hAnsi="Calibri"/>
          <w:b/>
          <w:color w:val="4A6B25"/>
          <w:sz w:val="20"/>
        </w:rPr>
        <w:t xml:space="preserve">3. </w:t>
      </w:r>
      <w:r>
        <w:rPr>
          <w:rFonts w:ascii="Calibri" w:hAnsi="Calibri"/>
          <w:b w:val="0"/>
          <w:color w:val="3A4A28"/>
          <w:sz w:val="20"/>
        </w:rPr>
        <w:t>Southeast commercial real estate concentration — significant CRE loan exposure in a region where office and retail vacancies are rising due to remote work trends and potential overbuilding in Nashville, Atlanta, and secondary markets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Banking is a relationship-intensive, heavily regulated industry with high switching costs — core commercial lending, wealth management, and complex advisory services cannot be replaced by AI [1]. Pinnacle's relationship-first model, where trusted advisors manage complex commercial and wealth clients with significant autonomy, provides meaningful protection against AI commoditization of basic banking services. The $119B Southeast franchise with deep client relationships represents a durable moat. However, retail banking transaction processing and back-office operations face efficiency pressure from AI-driven fintech competitors, and the broader industry faces risk from AI-powered lending platforms that could automate credit decisions [2]. AI Opportunity (0/1): SynovusGPT is an internal productivity tool deployed for employee use, and a dedicated AI team operates under Kevin Johnson, but these are operational efficiency tools rather than revenue-generating AI products. No quantifiable AI-specific revenue has been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Pinnacle Financial Partners Q2 2026 Earnings — Adjusted EPS $2.50 (GAAP $2.07), Revenue $1.14B, NII $956M (+2% QoQ), Loans $88.1B (+3% QoQ), 2026 Guidance: 9-11% Loan Growth, Adjusted Revenue $5.0B-$5.2B, $400M Buyback, July 2026</w:t>
      </w:r>
    </w:p>
    <w:p>
      <w:pPr>
        <w:spacing w:before="20" w:after="20"/>
        <w:ind w:left="170"/>
      </w:pPr>
      <w:r>
        <w:rPr>
          <w:rFonts w:ascii="Calibri" w:hAnsi="Calibri"/>
          <w:b/>
          <w:color w:val="4A6B25"/>
          <w:sz w:val="15"/>
        </w:rPr>
        <w:t xml:space="preserve">2. </w:t>
      </w:r>
      <w:r>
        <w:rPr>
          <w:rFonts w:ascii="Calibri" w:hAnsi="Calibri"/>
          <w:b w:val="0"/>
          <w:color w:val="3A4A28"/>
          <w:sz w:val="17"/>
        </w:rPr>
        <w:t>Fortune 100 Best Companies to Work For #12 (10th Consecutive Year); SynovusGPT AI Platform; Kevin Johnson AI Head; gener8tor Innovation Accelerator; Glassdoor 4.1/5 — Fortune, Glassdoor, PNFP.com,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Pinnacle Financial Partners Community Investment — $1.7B to LMI Housing, Small Business, Minority Institutions; Coalition Greenwich ESG Standout Commercial Bank; Sustainalytics Average ESG Management,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