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PPLC</w:t>
      </w:r>
      <w:r>
        <w:rPr>
          <w:rFonts w:ascii="Calibri" w:hAnsi="Calibri"/>
          <w:b/>
          <w:color w:val="1A2010"/>
          <w:sz w:val="40"/>
        </w:rPr>
        <w:t xml:space="preserve">  PPL Corporation</w:t>
      </w:r>
    </w:p>
    <w:p>
      <w:pPr>
        <w:spacing w:after="120"/>
      </w:pPr>
      <w:r>
        <w:rPr>
          <w:rFonts w:ascii="Calibri" w:hAnsi="Calibri"/>
          <w:b/>
          <w:color w:val="6E8450"/>
          <w:sz w:val="18"/>
        </w:rPr>
        <w:t>DIVIDEND SLEEVE · 2026-09-25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PPL Corporation provides electricity and natural gas to approximately 3.6 million customers in the United States through three regulated segments: Kentucky Regulated, Pennsylvania Regulated, and Rhode Island Regulated. The company generates, transmits, and distributes electricity from coal, gas, hydro, and solar sources. Founded in 1920 and headquartered in Allentown, Pennsylvania, PPL is investing in a $23 billion capital plan to modernize its grid and serve growing AI and data center demand. PPLC is the corporate unit ticker; PPL is the common stock. Q2 2026 ongoing EPS was $0.33 versus $0.32 in 2025, and the company reaffirmed full-year 2026 EPS guidance of $1.90-$1.98 with a 6-8% annual EPS growth target through 2029.</w:t>
      </w:r>
    </w:p>
    <w:p>
      <w:r>
        <w:rPr>
          <w:rFonts w:ascii="Calibri" w:hAnsi="Calibri"/>
          <w:b/>
          <w:color w:val="6E8450"/>
          <w:sz w:val="18"/>
        </w:rPr>
        <w:t>6,546 Employees · https://www.pplweb.com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PPL has executed incremental grid modernization and launched the Invitium joint venture to serve emerging data center demand, but has not achieved any transformative product launches or business model pivots in the last five years [1]. The 2021 divestiture of Western Power Distribution (UK operations) simplified the portfolio but was a rationalization rather than an innovation-driven move. AI Deployment (1/2): PPL is incorporating AI and data analytics across its utility operations for predictive maintenance, outage management, and grid optimization, with Chief Technology Officer Dean Del Vecchio leading initiatives to create 'technology-enabled utilities of the future' [3]. However, no specific AI-driven cost savings or revenue gains have been quantified publicly. Market Share (0/2): As a regulated utility, PPL operates in assigned service territories with captive customers and no competitive market share dynamics. Product Pipeline (1/2): The $23 billion capital plan through 2029 includes grid hardening, renewable integration, and infrastructure buildout for AI/data center load growth, with specific project timelines tied to regulatory approvals [1]. However, this is capital deployment rather than product innovation. R&amp;D Intensity (0/1): Utilities typically spend minimal amounts on R&amp;D as a percentage of revenue, and PPL is no exception.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PPL's purpose — 'Moving Energy Forward' — identifies what the company does and for whom, connecting its work to the clean energy transition and reliable service delivery. It is clear but not distinctive, interchangeable with many utility peers, and does not articulate a deeper societal purpose beyond the obvious [3]. Community Impact (1/2): PPL maintains community engagement programs, charitable giving, and has set a net-zero carbon emissions goal by 2050 with interim reduction targets of 70% by 2035 and 80% by 2040 [3]. ESG metrics are tied to executive compensation. However, no specific dollar amounts for community investment or distinctive programs were identified. Employee Retention (0/2): Glassdoor reviews indicate a 2.6/5 culture rating, 24% below industry average for energy companies, suggesting employee engagement challenges [3]. No data on voluntary turnover or average tenure was found. Insider Buying (0/2): No evidence of meaningful net insider buying by CEO Vincent Sorgi or other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PPL Corporation fundamentals. Forward P/E of 20.9x is near the 20x target, reflecting reasonable valuation for a stable earnings grower [4]. D/E of 135.4% is elevated but typical for capital-intensive utilities, scoring 0.72. ROE of 8.6% is below the 15% target (utility-typical) scoring 0.58, and profit margin of 13.5% scores 0.67 against the 20% target. Revenue growth YoY of 4.2% is modest, and 5yr CAGR of ~5% reflects steady regulated growth [1]. The dividend profile provides significant lift: PPL has paid dividends consecutively for 75+ years (scoring maximum with 2x weight), and 5yr dividend growth CAGR of ~6.5% meets the 6% target since the post-UK-spinoff reset [1]. Payout ratio of 66% is above the 40% target but sustainable for a regulated utility. Consecutive years of dividend growth is 5 since the 2021 reduction. The PPLC unit clears the liquidity floor with avg daily volume of 183,000 at $44.30 ($8.1M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PPL Corporation is a 106-year-old utility that delivers essential services reliably, but its strategic posture is fundamentally finite — optimizing regulated returns and managing capital plans within established frameworks rather than pursuing a transformative vision. The 2021 divestiture of UK operations showed strategic clarity, and the $23B capital plan demonstrates long-term investment commitment, but the company's Glassdoor culture score of 2.6/5 and generic mission statement suggest an organization focused on operational execution rather than purpose-driven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'Moving Energy Forward' is a functional tagline that exists but is shallow — interchangeable with any utility peer and does not articulate a future state worth sacrificing for [3]. PPL's strategic communications focus on regulated returns, EPS growth targets, and capital deployment rather than a vision of a better energy future. The clean energy transition provides a potential cause, but PPL's net-zero 2050 timeline is standard industry practice, not a differentiating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PPL maintains a stable workforce of 6,546 employees with consistent leadership under CEO Vincent Sorgi since 2020. However, the Glassdoor culture rating of 2.6/5 — 24% below utility industry peers — suggests trust deficits within the organization [3]. No evidence of exceptional employee empowerment or cultural practices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utility with captive service territories, PPL does not meaningfully compete with rivals in the traditional sense. The company's strategic language focuses on regulatory relationships and capital plan execution rather than competitive improvement [1]. There is no evidence of a learning-oriented competitive mindset because the regulated model eliminates the need for one.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PPL demonstrated meaningful strategic flexibility by divesting its UK operations (Western Power Distribution) in 2021 for approximately $10.4 billion, simplifying from an international conglomerate to a pure-play US regulated utility [1]. The Invitium JV and data center strategy show willingness to evolve. However, the core business remains fundamentally unchanged — generating and distributing electricity through regulated frameworks.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$23 billion capital plan represents a substantial long-term investment commitment that prioritizes future capability over short-term cost minimization [1]. The UK divestiture was a meaningful decision to exit a profitable international business for strategic clarity. However, these decisions operate within the safe confines of regulated cost recovery — the regulatory framework largely guarantees returns on invested capital, reducing the true risk of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PPL Corporation at a Forward P/E of ~21x (PPLC unit) is a steady regulated utility delivering consistent earnings growth with a reaffirmed 6-8% annual EPS growth target through 2029 [1]. The $23 billion capital plan positions PPL to benefit from the secular surge in data center power demand driven by AI infrastructure buildout, with the Invitium JV specifically targeting this opportunity. The 2.51% dividend yield (PPLC unit) provides income, and the 75+ year track record of uninterrupted dividend payments offers reliability. Q2 2026 ongoing EPS of $0.33 grew from $0.32 YoY, and first-half 2026 ongoing EPS of $0.96 tracks toward the $1.94 midpoint of full-year guidance [1]. Regulatory wins and constructive rate environments in Pennsylvania, Kentucky, and Rhode Island support the capital plan's cost recovery.</w:t>
      </w:r>
    </w:p>
    <w:p>
      <w:pPr>
        <w:spacing w:after="120"/>
      </w:pPr>
      <w:r>
        <w:rPr>
          <w:rFonts w:ascii="Calibri" w:hAnsi="Calibri"/>
          <w:b w:val="0"/>
          <w:color w:val="3A4A28"/>
          <w:sz w:val="20"/>
        </w:rPr>
        <w:t>The bear case centers on elevated leverage, below-target profitability, and limited upside beyond the regulated framework. D/E of 135.4% is above the 70% target, reflecting $20.4 billion in total debt needed to finance the capital plan, and ROE of 8.6% is well below the 15% target typical of high-quality compounders [4]. The Glassdoor culture score of 2.6/5 (24% below industry) raises concerns about organizational health and employee retention [3]. The PPLC unit trades at a premium to PPL common stock ($44.30 vs $31.97) with much lower liquidity (183K avg daily volume), creating trading friction. Revenue growth of 4.2% YoY is modest, and the 5yr CAGR of ~5% reflects the slow-growth reality of regulated utilities even as the AI demand narrative drives optimism. The dividend was cut significantly in 2021 during the UK spinoff, and consecutive years of growth is only 5 from the reduced base. The stock trades near its 52-week low ($44.09), suggesting the market is not yet rewarding the data center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data center demand could accelerate rate base growth beyond the current $23 billion capital plan, with PPL's Invitium JV specifically targeting hyperscaler power needs in its three-state service territory [1]</w:t>
      </w:r>
    </w:p>
    <w:p>
      <w:pPr>
        <w:spacing w:before="40" w:after="40"/>
        <w:ind w:left="283"/>
      </w:pPr>
      <w:r>
        <w:rPr>
          <w:rFonts w:ascii="Calibri" w:hAnsi="Calibri"/>
          <w:b/>
          <w:color w:val="4A6B25"/>
          <w:sz w:val="20"/>
        </w:rPr>
        <w:t xml:space="preserve">2. </w:t>
      </w:r>
      <w:r>
        <w:rPr>
          <w:rFonts w:ascii="Calibri" w:hAnsi="Calibri"/>
          <w:b w:val="0"/>
          <w:color w:val="3A4A28"/>
          <w:sz w:val="20"/>
        </w:rPr>
        <w:t>Regulatory approvals for grid modernization and renewable integration projects could unlock accelerated capital deployment and earnings growth beginning in 2027, when management expects stronger growth to materialize [1]</w:t>
      </w:r>
    </w:p>
    <w:p>
      <w:pPr>
        <w:spacing w:before="40" w:after="40"/>
        <w:ind w:left="283"/>
      </w:pPr>
      <w:r>
        <w:rPr>
          <w:rFonts w:ascii="Calibri" w:hAnsi="Calibri"/>
          <w:b/>
          <w:color w:val="4A6B25"/>
          <w:sz w:val="20"/>
        </w:rPr>
        <w:t xml:space="preserve">3. </w:t>
      </w:r>
      <w:r>
        <w:rPr>
          <w:rFonts w:ascii="Calibri" w:hAnsi="Calibri"/>
          <w:b w:val="0"/>
          <w:color w:val="3A4A28"/>
          <w:sz w:val="20"/>
        </w:rPr>
        <w:t>Quarterly dividend increase trajectory continues, with the $0.285/quarter rate representing a 9% YoY increase, and the 6-8% EPS growth target supporting continued dividend growth toward restoring the pre-spinoff payout level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at 135.4% D/E creates refinancing risk in a higher-rate environment, and the $20.4 billion debt load requires continuous regulatory cost recovery to service — any adverse rate case outcomes could pressure earnings and dividend growth [4]</w:t>
      </w:r>
    </w:p>
    <w:p>
      <w:pPr>
        <w:spacing w:before="40" w:after="40"/>
        <w:ind w:left="283"/>
      </w:pPr>
      <w:r>
        <w:rPr>
          <w:rFonts w:ascii="Calibri" w:hAnsi="Calibri"/>
          <w:b/>
          <w:color w:val="4A6B25"/>
          <w:sz w:val="20"/>
        </w:rPr>
        <w:t xml:space="preserve">2. </w:t>
      </w:r>
      <w:r>
        <w:rPr>
          <w:rFonts w:ascii="Calibri" w:hAnsi="Calibri"/>
          <w:b w:val="0"/>
          <w:color w:val="3A4A28"/>
          <w:sz w:val="20"/>
        </w:rPr>
        <w:t>Data center demand outlook may be slower to materialize than expected, as hyperscaler buildout timelines remain uncertain and PPL competes with other utilities for data center location decisions despite regulated territory advantages [1]</w:t>
      </w:r>
    </w:p>
    <w:p>
      <w:pPr>
        <w:spacing w:before="40" w:after="40"/>
        <w:ind w:left="283"/>
      </w:pPr>
      <w:r>
        <w:rPr>
          <w:rFonts w:ascii="Calibri" w:hAnsi="Calibri"/>
          <w:b/>
          <w:color w:val="4A6B25"/>
          <w:sz w:val="20"/>
        </w:rPr>
        <w:t xml:space="preserve">3. </w:t>
      </w:r>
      <w:r>
        <w:rPr>
          <w:rFonts w:ascii="Calibri" w:hAnsi="Calibri"/>
          <w:b w:val="0"/>
          <w:color w:val="3A4A28"/>
          <w:sz w:val="20"/>
        </w:rPr>
        <w:t>The Glassdoor culture rating of 2.6/5 — 24% below industry peers — suggests potential workforce challenges that could impair execution of the $23 billion capital plan requiring thousands of skilled workers over the next several years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PPL's core business — physical electricity generation, transmission, and distribution infrastructure — is structurally immune to AI disruption. AI cannot replace power lines, transformers, or generating stations, and the heavily regulated utility model with assigned service territories creates absolute barriers to entry [1]. More importantly, AI is actively increasing demand for PPL's product: data center power consumption is surging as hyperscalers build out AI infrastructure, and PPL is positioning its $23 billion capital plan to capture this secular demand growth [1][3]. Analysts view PPL as a beneficiary of the AI buildout, not a victim. AI Opportunity (0/1): PPL uses AI internally for grid management and predictive maintenance but does not generate customer-facing AI revenue. AI adoption improves operational efficiency but is not a distinct revenue line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PPL Corporation Q2 2026 Earnings Release — Ongoing EPS $0.33 vs $0.32 YoY, Reaffirmed 2026 Guidance $1.90-$1.98, 6-8% EPS Growth Through 2029, $23B Capital Plan, August 2026</w:t>
      </w:r>
    </w:p>
    <w:p>
      <w:pPr>
        <w:spacing w:before="20" w:after="20"/>
        <w:ind w:left="170"/>
      </w:pPr>
      <w:r>
        <w:rPr>
          <w:rFonts w:ascii="Calibri" w:hAnsi="Calibri"/>
          <w:b/>
          <w:color w:val="4A6B25"/>
          <w:sz w:val="15"/>
        </w:rPr>
        <w:t xml:space="preserve">2. </w:t>
      </w:r>
      <w:r>
        <w:rPr>
          <w:rFonts w:ascii="Calibri" w:hAnsi="Calibri"/>
          <w:b w:val="0"/>
          <w:color w:val="3A4A28"/>
          <w:sz w:val="17"/>
        </w:rPr>
        <w:t>PPL Corporation Q1 2026 Earnings Release — Ongoing EPS $0.63, Revenue $2.77B (+4.5% surprise), May 2026</w:t>
      </w:r>
    </w:p>
    <w:p>
      <w:pPr>
        <w:spacing w:before="20" w:after="20"/>
        <w:ind w:left="170"/>
      </w:pPr>
      <w:r>
        <w:rPr>
          <w:rFonts w:ascii="Calibri" w:hAnsi="Calibri"/>
          <w:b/>
          <w:color w:val="4A6B25"/>
          <w:sz w:val="15"/>
        </w:rPr>
        <w:t xml:space="preserve">3. </w:t>
      </w:r>
      <w:r>
        <w:rPr>
          <w:rFonts w:ascii="Calibri" w:hAnsi="Calibri"/>
          <w:b w:val="0"/>
          <w:color w:val="3A4A28"/>
          <w:sz w:val="17"/>
        </w:rPr>
        <w:t>PPL Corporation ESG and Culture — Net-Zero by 2050, ESG-Linked Executive Comp, Glassdoor 2.6/5 Culture Rating, Dean Del Vecchio CTO Innovation Strategy,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PPLC/PPL Key Statistics: Forward P/E 20.9x (PPLC), D/E 135.4%, ROE 8.6%, Dividend Yield 2.51% (PPLC), Payout Ratio 66%, Stock Price $44.30,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