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PRGO</w:t>
      </w:r>
      <w:r>
        <w:rPr>
          <w:rFonts w:ascii="Calibri" w:hAnsi="Calibri"/>
          <w:b/>
          <w:color w:val="1A2010"/>
          <w:sz w:val="40"/>
        </w:rPr>
        <w:t xml:space="preserve">  Perrigo Company plc</w:t>
      </w:r>
    </w:p>
    <w:p>
      <w:pPr>
        <w:spacing w:after="120"/>
      </w:pPr>
      <w:r>
        <w:rPr>
          <w:rFonts w:ascii="Calibri" w:hAnsi="Calibri"/>
          <w:b/>
          <w:color w:val="6E8450"/>
          <w:sz w:val="18"/>
        </w:rPr>
        <w:t>DIVIDEND SLEEVE · 2026-09-04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NYSE · Ireland</w:t>
      </w:r>
    </w:p>
    <w:p>
      <w:pPr>
        <w:spacing w:after="80"/>
      </w:pPr>
      <w:r>
        <w:rPr>
          <w:rFonts w:ascii="Calibri" w:hAnsi="Calibri"/>
          <w:b w:val="0"/>
          <w:color w:val="3A4A28"/>
          <w:sz w:val="20"/>
        </w:rPr>
        <w:t>Perrigo Company plc is the world's largest manufacturer of over-the-counter (OTC) self-care products, supplying store-brand health and wellness solutions to major retailers globally. The company operates through Consumer Self-Care Americas and Consumer Self-Care International segments, with products spanning upper respiratory, digestive health, pain and sleep aids, and women's health categories. Following the 2022 HRA Pharma acquisition, Perrigo expanded into specialty consumer healthcare but divested Dermacosmetics for EUR 306M in 2026. In Q2 2026, Perrigo returned to profit amid revenue declining 2.5% to $1.11B and reaffirmed full-year guidance. Headquartered in Dublin, Ireland with primary operations in the United States and Europe.</w:t>
      </w:r>
    </w:p>
    <w:p>
      <w:r>
        <w:rPr>
          <w:rFonts w:ascii="Calibri" w:hAnsi="Calibri"/>
          <w:b/>
          <w:color w:val="6E8450"/>
          <w:sz w:val="18"/>
        </w:rPr>
        <w:t>8,100 Employees · https://www.perrigo.com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2022 HRA Pharma acquisition brought Opill (first FDA-approved OTC birth control) and women's health portfolio, but execution has faltered — the Dermacosmetics business was divested for EUR 306M in 2026, representing a partial unwinding of the deal, and Self-Care revenue declined 11.5% YoY in Q1 2026 to $543.3M [1]. No other transformative product launches in five years. AI Deployment (0/2): No evidence of AI-powered products or quantified AI-driven operational improvements across Perrigo's manufacturing or commercial operations [2]. Market Share (1/2): Perrigo holds the #1 global position in store-brand OTC healthcare, a structural advantage with major retailer relationships, but this position is under pressure with organic net sales declining 9.9% in Q1 2026 amid market softness [1]. Product Pipeline (1/2): Women's Health products from HRA showing momentum with $8M incremental sales in Specialty Care in Q1 2026, but no specific next-generation product launches with timelines announced [1]. R&amp;D Intensity (0/1): R&amp;D spending is below pharmaceutical industry averages, consistent with a generic/store-brand business model focused on formulation rather than discovery.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Perrigo's stated purpose — 'making lives better by bringing Quality, Affordable Self-Care Products that consumers trust everywhere they are sold' — is clear and identifies the target audience but is functionally interchangeable with any consumer healthcare peer [5]. It describes what the company does, not a deeper aspirational purpose. Community Impact (0/2): No evidence of significant charitable programs, corporate foundation, or community investment beyond standard corporate responsibility disclosures; environmental targets of net-zero by 2040 and 100% renewable electricity by 2026 are standard industry commitments [5]. Employee Retention (0/2): Glassdoor rating of 3.2/5 based on 808 reviews, with employees citing 'toxic environment,' 'incompetent upper management,' and 'hostile work environments' [4]. CEO Patrick Lockwood-Taylor was removed after the board found his conduct 'inconsistent with the company's Code of Conduct and core values,' leaving interim CEO Albert Manzone in place [2]. Insider Buying (0/2): No evidence of meaningful net insider buying; leadership instability during the CEO removal and interim appointment period suggests defensive posture.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improved to 131% from 153% following the EUR 306M Dermacosmetics divestiture and debt reduction, but remains elevated for a consumer staples company [1][2]. GAAP profitability remains deeply negative with -41.1% net margin and -48.8% ROE due to goodwill impairments on HRA Pharma, though adjusted EPS guidance of $2.00-$2.30 implies a forward PE of 6.53x — extremely cheap but reflecting market skepticism [1][3]. Q2 2026 showed a return to profit on a quarterly basis, with revenue declining a more moderate 2.5% to $1.11B versus Q1's -7.2% pace, suggesting stabilization [1]. Full-year guidance reaffirmed at -5.5% to -1.5% net sales growth. 5-year revenue CAGR is approximately 1% reflecting the HRA-inflated base. The 8.05% dividend yield ($1.16 annual) remains at risk of a cut given negative GAAP earnings and high leverage [3]. Dividend has been flat at $0.29/quarter with zero consecutive years of growth. Liquidity floor cleared: ~5.6M avg vol x $14.25 = $79.8M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Perrigo under interim leadership is a finite player focused on survival and restructuring rather than advancing a long-term cause. The CEO was removed for Code of Conduct violations, the flagship HRA Pharma acquisition is being partially unwound through divestitures, Glassdoor reviews describe a toxic culture, and strategic decisions are driven by debt reduction necessity rather than purpose. The company lacks a Just Cause that shapes behavior, and organizational instability undermines any foundation for infinite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Perrigo's affordable self-care purpose exists on paper but is not validated by consistent strategic execution — the HRA acquisition diluted the store-brand OTC focus, Dermacosmetics was divested within four years, and the CEO's removal for Code of Conduct violations signals that leadership behavior contradicts stated values [2][5]. The purpose statement reads as marketing copy rather than a guiding principle that shapes capital allocation. Sinek would note that a company cycling through CEOs and reversing strategic direction within a few years lacks the consistency that defines a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(3.2/5 from 808 reviews) describe 'toxic environment,' 'terrible culture,' 'no communication between teams,' and 'hostile work environments created by certain leadership/VPs' [4]. The CEO was fired for conduct inconsistent with company values — a governance failure that erodes trust at every level. An interim CEO is now leading while a permanent search is underway, creating additional organizational uncertainty. This is the antithesis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company's recent communications focus on restructuring, debt reduction, and 'reaffirming guidance' rather than learning from competitors or improving capabilities [1]. The competitive landscape includes major retailers developing their own OTC products and branded competitors (J&amp;J, Reckitt Benckiser), but Perrigo's response has been defensive cost-cutting rather than innovation-driven differentiation.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HRA Pharma acquisition in 2022 represented a strategic pivot from pure store-brand OTC into specialty consumer healthcare and women's health, demonstrating willingness to evolve the business model. However, execution was poor and the Dermacosmetics portion is already being divested [2]. The pivot was partially reversed rather than driven through to completion, suggesting the flexibility was not grounded in a clear long-term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The CEO was removed for code violations, not for principled stands [2]. Strategic actions — divesting Dermacosmetics, reaffirming guidance, focusing on debt reduction — are reactive measures driven by financial necessity rather than forward-looking leadership choices [1]. Management is optimizing for survival this quarter, not building capabilities for the next decade.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Perrigo trades at an extreme discount — forward PE of approximately 5.1x on adjusted EPS guidance of $2.00-$2.30 — reflecting deep market skepticism following the failed HRA Pharma integration, CEO removal for Code of Conduct violations, and persistent revenue declines [1][3]. Q1 2026 adjusted EPS of $0.43 beat the $0.32 consensus estimate, and management reaffirmed full-year 2026 guidance weighted to the second half. The EUR 306M Dermacosmetics divestiture provides debt reduction firepower, and Women's Health products show early traction with $8M incremental specialty care sales [1]. If a permanent CEO can stabilize operations and return revenue to growth, the stock offers significant upside from its $1.5B market cap on $4.3B TTM revenue.</w:t>
      </w:r>
    </w:p>
    <w:p>
      <w:pPr>
        <w:spacing w:after="120"/>
      </w:pPr>
      <w:r>
        <w:rPr>
          <w:rFonts w:ascii="Calibri" w:hAnsi="Calibri"/>
          <w:b w:val="0"/>
          <w:color w:val="3A4A28"/>
          <w:sz w:val="20"/>
        </w:rPr>
        <w:t>The bear case is formidable. GAAP net margin of -43.5% reflects massive goodwill impairments signaling the HRA acquisition destroyed shareholder value, and ROE is -52.2% [3]. D/E of 153% remains dangerously high for a consumer staples company, and the 10.5% dividend yield is not covered by free cash flow — a cut appears probable [3]. Organic revenue is contracting at 9.9% in Q1 2026, suggesting structural market share losses in store-brand OTC as retailers evaluate alternative suppliers [1]. The company operates under interim CEO Albert Manzone with no timeline for permanent appointment, creating strategic drift risk during a critical restructuring period [2]. The path to HOLD requires revenue stabilization, permanent CEO appointment, and demonstrable deleveraging progress.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Permanent CEO appointment providing strategic clarity and stabilizing organizational culture following the Code of Conduct-related removal of Patrick Lockwood-Taylor</w:t>
      </w:r>
    </w:p>
    <w:p>
      <w:pPr>
        <w:spacing w:before="40" w:after="40"/>
        <w:ind w:left="283"/>
      </w:pPr>
      <w:r>
        <w:rPr>
          <w:rFonts w:ascii="Calibri" w:hAnsi="Calibri"/>
          <w:b/>
          <w:color w:val="4A6B25"/>
          <w:sz w:val="20"/>
        </w:rPr>
        <w:t xml:space="preserve">2. </w:t>
      </w:r>
      <w:r>
        <w:rPr>
          <w:rFonts w:ascii="Calibri" w:hAnsi="Calibri"/>
          <w:b w:val="0"/>
          <w:color w:val="3A4A28"/>
          <w:sz w:val="20"/>
        </w:rPr>
        <w:t>Debt reduction from EUR 306M Dermacosmetics divestiture proceeds, with potential for additional non-core asset sales to accelerate deleveraging toward target D/E below 100%</w:t>
      </w:r>
    </w:p>
    <w:p>
      <w:pPr>
        <w:spacing w:before="40" w:after="40"/>
        <w:ind w:left="283"/>
      </w:pPr>
      <w:r>
        <w:rPr>
          <w:rFonts w:ascii="Calibri" w:hAnsi="Calibri"/>
          <w:b/>
          <w:color w:val="4A6B25"/>
          <w:sz w:val="20"/>
        </w:rPr>
        <w:t xml:space="preserve">3. </w:t>
      </w:r>
      <w:r>
        <w:rPr>
          <w:rFonts w:ascii="Calibri" w:hAnsi="Calibri"/>
          <w:b w:val="0"/>
          <w:color w:val="3A4A28"/>
          <w:sz w:val="20"/>
        </w:rPr>
        <w:t>Second-half 2026 earnings acceleration as management reaffirmed full-year adjusted EPS of $2.00-$2.30, implying significant improvement from Q1's $0.43 pace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cut appears probable — 10.5% yield is uncovered by free cash flow, and maintaining the $1.16 annual payout consumes capital needed for debt reduction on 153% D/E leverage</w:t>
      </w:r>
    </w:p>
    <w:p>
      <w:pPr>
        <w:spacing w:before="40" w:after="40"/>
        <w:ind w:left="283"/>
      </w:pPr>
      <w:r>
        <w:rPr>
          <w:rFonts w:ascii="Calibri" w:hAnsi="Calibri"/>
          <w:b/>
          <w:color w:val="4A6B25"/>
          <w:sz w:val="20"/>
        </w:rPr>
        <w:t xml:space="preserve">2. </w:t>
      </w:r>
      <w:r>
        <w:rPr>
          <w:rFonts w:ascii="Calibri" w:hAnsi="Calibri"/>
          <w:b w:val="0"/>
          <w:color w:val="3A4A28"/>
          <w:sz w:val="20"/>
        </w:rPr>
        <w:t>Organic revenue declining at 9.9% YoY signals structural market share erosion in store-brand OTC as retailers diversify supplier base and private-label competition intensifies</w:t>
      </w:r>
    </w:p>
    <w:p>
      <w:pPr>
        <w:spacing w:before="40" w:after="40"/>
        <w:ind w:left="283"/>
      </w:pPr>
      <w:r>
        <w:rPr>
          <w:rFonts w:ascii="Calibri" w:hAnsi="Calibri"/>
          <w:b/>
          <w:color w:val="4A6B25"/>
          <w:sz w:val="20"/>
        </w:rPr>
        <w:t xml:space="preserve">3. </w:t>
      </w:r>
      <w:r>
        <w:rPr>
          <w:rFonts w:ascii="Calibri" w:hAnsi="Calibri"/>
          <w:b w:val="0"/>
          <w:color w:val="3A4A28"/>
          <w:sz w:val="20"/>
        </w:rPr>
        <w:t>Leadership vacuum with interim CEO and no permanent appointment timeline creates strategic drift risk — Glassdoor reviews (3.2/5) describing toxic culture suggest organizational dysfunction extends beyond the C-suite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Perrigo's core business — manufacturing and distributing OTC health products under store-brand labels — is structurally protected from AI disruption. Physical manufacturing of pharmaceuticals (tablets, liquids, creams), FDA-regulated production processes, complex supply chain management, and entrenched retail distribution relationships represent capabilities that AI cannot substitute [5]. The store-brand OTC model requires regulatory compliance, formulation expertise, and scale manufacturing — none of which face AI displacement risk. Some exposure exists in back-office functions and marketing where AI could drive efficiency for competitors, preventing a higher score. AI Opportunity (0/1): No evidence of AI-generated revenue. The company has not announced AI-powered products, AI-driven cost savings programs, or any quantified AI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Perrigo Q1 2026 Earnings Release — Q1 revenue $969.2M (down 7.2% YoY), adjusted EPS $0.43 beating $0.32 consensus, prnewswire.com, May 2026</w:t>
      </w:r>
    </w:p>
    <w:p>
      <w:pPr>
        <w:spacing w:before="20" w:after="20"/>
        <w:ind w:left="170"/>
      </w:pPr>
      <w:r>
        <w:rPr>
          <w:rFonts w:ascii="Calibri" w:hAnsi="Calibri"/>
          <w:b/>
          <w:color w:val="4A6B25"/>
          <w:sz w:val="15"/>
        </w:rPr>
        <w:t xml:space="preserve">2. </w:t>
      </w:r>
      <w:r>
        <w:rPr>
          <w:rFonts w:ascii="Calibri" w:hAnsi="Calibri"/>
          <w:b w:val="0"/>
          <w:color w:val="3A4A28"/>
          <w:sz w:val="17"/>
        </w:rPr>
        <w:t>Perrigo CEO Removal and FY2025 Results — CEO Lockwood-Taylor removed for Code of Conduct violations, interim CEO Albert Manzone appointed, Dermacosmetics divestiture for EUR 306M, investor.perrigo.com, February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StockAnalysis — PRGO Key Statistics: D/E 153.2%, ROE -52.2%, profit margin -43.5%, forward PE 5.1x, avg volume 5.6M, accessed July 2026</w:t>
      </w:r>
    </w:p>
    <w:p>
      <w:pPr>
        <w:spacing w:before="20" w:after="20"/>
        <w:ind w:left="170"/>
      </w:pPr>
      <w:r>
        <w:rPr>
          <w:rFonts w:ascii="Calibri" w:hAnsi="Calibri"/>
          <w:b/>
          <w:color w:val="4A6B25"/>
          <w:sz w:val="15"/>
        </w:rPr>
        <w:t xml:space="preserve">4. </w:t>
      </w:r>
      <w:r>
        <w:rPr>
          <w:rFonts w:ascii="Calibri" w:hAnsi="Calibri"/>
          <w:b w:val="0"/>
          <w:color w:val="3A4A28"/>
          <w:sz w:val="17"/>
        </w:rPr>
        <w:t>Glassdoor — Perrigo Company Reviews: 3.2/5 rating from 808 reviews, culture concerns including 'toxic environment' and 'hostile work environments,' accessed July 2026</w:t>
      </w:r>
    </w:p>
    <w:p>
      <w:pPr>
        <w:spacing w:before="20" w:after="20"/>
        <w:ind w:left="170"/>
      </w:pPr>
      <w:r>
        <w:rPr>
          <w:rFonts w:ascii="Calibri" w:hAnsi="Calibri"/>
          <w:b/>
          <w:color w:val="4A6B25"/>
          <w:sz w:val="15"/>
        </w:rPr>
        <w:t xml:space="preserve">5. </w:t>
      </w:r>
      <w:r>
        <w:rPr>
          <w:rFonts w:ascii="Calibri" w:hAnsi="Calibri"/>
          <w:b w:val="0"/>
          <w:color w:val="3A4A28"/>
          <w:sz w:val="17"/>
        </w:rPr>
        <w:t>Perrigo Corporate Website — Mission statement, leadership team, environmental commitments (net-zero by 2040, 100% renewable electricity by 2026), perrigo.com, accessed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